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Overlapping</w:t>
      </w:r>
      <w:r>
        <w:rPr>
          <w:b/>
          <w:i w:val="0"/>
          <w:smallCaps w:val="0"/>
          <w:strike w:val="0"/>
          <w:sz w:val="26"/>
          <w:u w:val="none"/>
        </w:rPr>
        <w:t xml:space="preserve"> instruments </w:t>
      </w:r>
      <w:r>
        <w:rPr>
          <w:b/>
          <w:i w:val="0"/>
          <w:smallCaps w:val="0"/>
          <w:strike w:val="0"/>
          <w:sz w:val="26"/>
          <w:u w:val="single"/>
        </w:rPr>
        <w:t>and</w:t>
      </w:r>
      <w:r>
        <w:rPr>
          <w:b/>
          <w:i w:val="0"/>
          <w:smallCaps w:val="0"/>
          <w:strike w:val="0"/>
          <w:sz w:val="26"/>
          <w:u w:val="none"/>
        </w:rPr>
        <w:t xml:space="preserve"> taxes will be </w:t>
      </w:r>
      <w:r>
        <w:rPr>
          <w:b/>
          <w:i w:val="0"/>
          <w:smallCaps w:val="0"/>
          <w:strike w:val="0"/>
          <w:sz w:val="26"/>
          <w:u w:val="single"/>
        </w:rPr>
        <w:t>uncoordinated</w:t>
      </w:r>
      <w:r>
        <w:rPr>
          <w:b/>
          <w:i w:val="0"/>
          <w:smallCaps w:val="0"/>
          <w:strike w:val="0"/>
          <w:sz w:val="26"/>
          <w:u w:val="none"/>
        </w:rPr>
        <w:t xml:space="preserve"> and </w:t>
      </w:r>
      <w:r>
        <w:rPr>
          <w:b/>
          <w:i w:val="0"/>
          <w:smallCaps w:val="0"/>
          <w:strike w:val="0"/>
          <w:sz w:val="26"/>
          <w:u w:val="single"/>
        </w:rPr>
        <w:t>duplicative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Logue ’10 </w:t>
      </w:r>
      <w:r>
        <w:rPr>
          <w:b w:val="0"/>
          <w:i w:val="0"/>
          <w:smallCaps w:val="0"/>
          <w:strike w:val="0"/>
          <w:u w:val="none"/>
        </w:rPr>
        <w:t>[Kyle; June 2010; Wade H. McCree Jr. Collegiate Professor of Law at the University of Michigan Law School, JD from Yale Law School, BA from Auburn University; Cardozo Law Review, “Coordinating Sanctions in Tort,” vol. 31]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Take the quintessential example of a negative externality - some activity that spews CO&lt;2&gt; into the atmosphere thereby contributing to the global problem of climate change.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If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full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y </w:t>
      </w:r>
      <w:r>
        <w:rPr>
          <w:b w:val="0"/>
          <w:i w:val="0"/>
          <w:smallCaps w:val="0"/>
          <w:strike w:val="0"/>
          <w:sz w:val="22"/>
          <w:u w:val="single"/>
        </w:rPr>
        <w:t>cost-internalizing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Pigovian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tax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(say, a carbon-based tax of the sort that many commentators have recently proposed)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were imposed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domestic 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the U.S. government,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obviously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need 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(and, from an efficiency perspective, should not) be a state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-level carbon-based </w:t>
      </w:r>
      <w:r>
        <w:rPr>
          <w:b w:val="0"/>
          <w:i w:val="0"/>
          <w:smallCaps w:val="0"/>
          <w:strike w:val="0"/>
          <w:sz w:val="22"/>
          <w:u w:val="single"/>
        </w:rPr>
        <w:t>tax on the same polluters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the same carbon emissions.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Nor should there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be any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overlapping</w:t>
      </w:r>
      <w:r>
        <w:rPr>
          <w:b/>
          <w:i w:val="0"/>
          <w:smallCaps w:val="0"/>
          <w:strike w:val="0"/>
          <w:sz w:val="24"/>
          <w:u w:val="single"/>
        </w:rPr>
        <w:t xml:space="preserve"> command-and-control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regulations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any other sort of regulation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(including tort liability)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designed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regulate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same conduct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- the external harm caused by CO&lt;2&gt; emission - has, by assumption, already been fully regulated.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Redundant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regulation represents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unnecessary</w:t>
      </w:r>
      <w:r>
        <w:rPr>
          <w:b/>
          <w:i w:val="0"/>
          <w:smallCaps w:val="0"/>
          <w:strike w:val="0"/>
          <w:sz w:val="24"/>
          <w:u w:val="single"/>
        </w:rPr>
        <w:t xml:space="preserve"> administrative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costs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potentially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excessive deterrence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same analysis can be applied to torts. Consider automobile accidents or product-related injuries or medical malpractice harms.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All 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potentially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affected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at least in theory,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same problem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overlapping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uncoordinated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thus possibly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redundant sanctions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; this means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either </w:t>
      </w:r>
      <w:r>
        <w:rPr>
          <w:b/>
          <w:i w:val="0"/>
          <w:smallCaps w:val="0"/>
          <w:strike w:val="0"/>
          <w:sz w:val="24"/>
          <w:u w:val="single"/>
        </w:rPr>
        <w:t>over-deterrence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duplicative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therefore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excessive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administrative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costs</w:t>
      </w:r>
      <w:r>
        <w:rPr>
          <w:b w:val="0"/>
          <w:i w:val="0"/>
          <w:smallCaps w:val="0"/>
          <w:strike w:val="0"/>
          <w:sz w:val="22"/>
          <w:u w:val="single"/>
        </w:rPr>
        <w:t>, or both</w:t>
      </w:r>
      <w:r>
        <w:rPr>
          <w:b w:val="0"/>
          <w:i w:val="0"/>
          <w:smallCaps w:val="0"/>
          <w:strike w:val="0"/>
          <w:sz w:val="16"/>
          <w:u w:val="none"/>
        </w:rPr>
        <w:t>. Again, the literature has largely neglected this subject. 7</w:t>
      </w:r>
    </w:p>
    <w:p>
      <w:pPr>
        <w:pStyle w:val="Caption"/>
      </w:pPr>
      <w:r>
        <w:t>Source: Balance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