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Taxation is </w:t>
      </w:r>
      <w:r>
        <w:rPr>
          <w:b/>
          <w:i w:val="0"/>
          <w:smallCaps w:val="0"/>
          <w:strike w:val="0"/>
          <w:sz w:val="26"/>
          <w:u w:val="single"/>
        </w:rPr>
        <w:t>self-correcting</w:t>
      </w:r>
      <w:r>
        <w:rPr>
          <w:b/>
          <w:i w:val="0"/>
          <w:smallCaps w:val="0"/>
          <w:strike w:val="0"/>
          <w:sz w:val="26"/>
          <w:u w:val="none"/>
        </w:rPr>
        <w:t xml:space="preserve">---the rate will be </w:t>
      </w:r>
      <w:r>
        <w:rPr>
          <w:b/>
          <w:i w:val="0"/>
          <w:smallCaps w:val="0"/>
          <w:strike w:val="0"/>
          <w:sz w:val="26"/>
          <w:u w:val="single"/>
        </w:rPr>
        <w:t>adjusted</w:t>
      </w:r>
      <w:r>
        <w:rPr>
          <w:b/>
          <w:i w:val="0"/>
          <w:smallCaps w:val="0"/>
          <w:strike w:val="0"/>
          <w:sz w:val="26"/>
          <w:u w:val="none"/>
        </w:rPr>
        <w:t xml:space="preserve"> in response to deficits, creating an </w:t>
      </w:r>
      <w:r>
        <w:rPr>
          <w:b/>
          <w:i w:val="0"/>
          <w:smallCaps w:val="0"/>
          <w:strike w:val="0"/>
          <w:sz w:val="26"/>
          <w:u w:val="single"/>
        </w:rPr>
        <w:t>optimal instrument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Libson ’21 </w:t>
      </w:r>
      <w:r>
        <w:rPr>
          <w:b w:val="0"/>
          <w:i w:val="0"/>
          <w:smallCaps w:val="0"/>
          <w:strike w:val="0"/>
          <w:u w:val="none"/>
        </w:rPr>
        <w:t>[Adi and Gideon Parchomovsky; February 2021; Assistant Professor at the Bar-Ilan University Faculty of Law; Robert G. Fuller, Jr. Professor of Law at the University of Pennsylvania Law School and Professor of Law at the Hebrew University Faculty of Law; Texas Law Review, “Reversing the Fortunes of Active Funds,” vol. 99]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Our proposal offers three potential advantages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over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competing mechanisms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aimed at bolstering engagements by shareholders. First,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tax incentives constitute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far more effective tool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encouraging the growth of active funds and active participation in corporate matters than legislation or regulation that forces passive funds to become active. If a passive fund has no interest in assuming an active role in the management of a company, it is highly doubtful that legal mandates forcing engagement would achieve their desired goal of meaningful engagements.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Worse yet,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mandatory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measures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necessitate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significant expenditures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monitoring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enforcement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 Tax benefits, by contrast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allow each category of funds, active and passive, to act as it prefers, while </w:t>
      </w:r>
      <w:r>
        <w:rPr>
          <w:b/>
          <w:i w:val="0"/>
          <w:smallCaps w:val="0"/>
          <w:strike w:val="0"/>
          <w:sz w:val="24"/>
          <w:u w:val="single"/>
        </w:rPr>
        <w:t>maintain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ing </w:t>
      </w:r>
      <w:r>
        <w:rPr>
          <w:b w:val="0"/>
          <w:i w:val="0"/>
          <w:smallCaps w:val="0"/>
          <w:strike w:val="0"/>
          <w:sz w:val="22"/>
          <w:u w:val="single"/>
        </w:rPr>
        <w:t>a stable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market </w:t>
      </w:r>
      <w:r>
        <w:rPr>
          <w:b w:val="0"/>
          <w:i w:val="0"/>
          <w:smallCaps w:val="0"/>
          <w:strike w:val="0"/>
          <w:sz w:val="22"/>
          <w:u w:val="single"/>
        </w:rPr>
        <w:t>equilibrium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between the two groups. Furthermore,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tax instruments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flexible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dynamic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Unlike binary regulatory mechanisms, a tax benefit can be </w:t>
      </w:r>
      <w:r>
        <w:rPr>
          <w:b/>
          <w:i w:val="0"/>
          <w:smallCaps w:val="0"/>
          <w:strike w:val="0"/>
          <w:sz w:val="24"/>
          <w:u w:val="single"/>
        </w:rPr>
        <w:t>keyed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multiple performance indicators and can be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adjusted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fit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changing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magnitude of the positive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externalities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generated by sophisticated investors</w:t>
      </w:r>
      <w:r>
        <w:rPr>
          <w:b w:val="0"/>
          <w:i w:val="0"/>
          <w:smallCaps w:val="0"/>
          <w:strike w:val="0"/>
          <w:sz w:val="16"/>
          <w:u w:val="none"/>
        </w:rPr>
        <w:t>. 17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&lt;&lt;FOOTNOTE 17&gt;&gt;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Louis Kaplow &amp; Steven Shavell, On the Superiority of Corrective Taxes to Quantity Regulation, 4 Am. L. &amp; Econ. Rev. 1, 7-10 (2002) (emphasizing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price element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taxes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provides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government with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vital info</w:t>
      </w:r>
      <w:r>
        <w:rPr>
          <w:b w:val="0"/>
          <w:i w:val="0"/>
          <w:smallCaps w:val="0"/>
          <w:strike w:val="0"/>
          <w:sz w:val="22"/>
          <w:u w:val="single"/>
        </w:rPr>
        <w:t>rmation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can be utilized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optimize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tax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instrument</w:t>
      </w:r>
      <w:r>
        <w:rPr>
          <w:b w:val="0"/>
          <w:i w:val="0"/>
          <w:smallCaps w:val="0"/>
          <w:strike w:val="0"/>
          <w:sz w:val="22"/>
          <w:u w:val="single"/>
        </w:rPr>
        <w:t>). The price element of taxes can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serve as a mechanism for </w:t>
      </w:r>
      <w:r>
        <w:rPr>
          <w:b/>
          <w:i w:val="0"/>
          <w:smallCaps w:val="0"/>
          <w:strike w:val="0"/>
          <w:sz w:val="24"/>
          <w:u w:val="single"/>
        </w:rPr>
        <w:t>revealing information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the parties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See, e.g., Brian Galle, Tax, Command ... or Nudge?: Evaluating the New Regulation, 92 Texas L. Rev. 837, 848 (2014) (explaining that prices reveal information about the subjective valuations of parties).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&lt;&lt;FOOTNOTE 17 ENDS&gt;&gt;</w:t>
      </w:r>
    </w:p>
    <w:p>
      <w:pPr>
        <w:pStyle w:val="Caption"/>
      </w:pPr>
      <w:r>
        <w:t>Source: Balance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