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Taxes create </w:t>
      </w:r>
      <w:r>
        <w:rPr>
          <w:b/>
          <w:i w:val="0"/>
          <w:smallCaps w:val="0"/>
          <w:strike w:val="0"/>
          <w:sz w:val="26"/>
          <w:u w:val="single"/>
        </w:rPr>
        <w:t>powerful symbols</w:t>
      </w:r>
      <w:r>
        <w:rPr>
          <w:b/>
          <w:i w:val="0"/>
          <w:smallCaps w:val="0"/>
          <w:strike w:val="0"/>
          <w:sz w:val="26"/>
          <w:u w:val="none"/>
        </w:rPr>
        <w:t xml:space="preserve"> of commitment. </w:t>
      </w:r>
    </w:p>
    <w:p>
      <w:pPr>
        <w:spacing w:after="80"/>
      </w:pPr>
      <w:r>
        <w:rPr>
          <w:b/>
          <w:i w:val="0"/>
          <w:smallCaps w:val="0"/>
          <w:strike w:val="0"/>
          <w:sz w:val="26"/>
          <w:u w:val="none"/>
        </w:rPr>
        <w:t xml:space="preserve">Yonah ’6 </w:t>
      </w:r>
      <w:r>
        <w:rPr>
          <w:b w:val="0"/>
          <w:i w:val="0"/>
          <w:smallCaps w:val="0"/>
          <w:strike w:val="0"/>
          <w:u w:val="none"/>
        </w:rPr>
        <w:t>[Reuven Avi; Fall 2006; Irwin I. Cohn Professor of Law and Director of the International Tax LLM Program at the University of Michigan Law School, PhD in History from Harvard University, AM in History from Harvard University, JD from Harvard Law School; Tax Law Review, “The Three Goals of Taxation,” vol. 60]</w:t>
      </w:r>
    </w:p>
    <w:p>
      <w:pPr>
        <w:spacing w:after="60"/>
      </w:pPr>
      <w:r>
        <w:rPr>
          <w:b w:val="0"/>
          <w:i w:val="0"/>
          <w:smallCaps w:val="0"/>
          <w:strike w:val="0"/>
          <w:sz w:val="16"/>
          <w:u w:val="none"/>
        </w:rPr>
        <w:t xml:space="preserve">Finally, </w:t>
      </w:r>
      <w:r>
        <w:rPr>
          <w:b w:val="0"/>
          <w:i w:val="0"/>
          <w:smallCaps w:val="0"/>
          <w:strike w:val="0"/>
          <w:sz w:val="22"/>
          <w:u w:val="single"/>
        </w:rPr>
        <w:t xml:space="preserve">income </w:t>
      </w:r>
      <w:r>
        <w:rPr>
          <w:b w:val="0"/>
          <w:i w:val="0"/>
          <w:smallCaps w:val="0"/>
          <w:strike w:val="0"/>
          <w:sz w:val="22"/>
          <w:highlight w:val="cyan"/>
          <w:u w:val="single"/>
        </w:rPr>
        <w:t xml:space="preserve">taxation has an </w:t>
      </w:r>
      <w:r>
        <w:rPr>
          <w:b/>
          <w:i w:val="0"/>
          <w:smallCaps w:val="0"/>
          <w:strike w:val="0"/>
          <w:sz w:val="24"/>
          <w:highlight w:val="cyan"/>
          <w:u w:val="single"/>
        </w:rPr>
        <w:t>important symbolic value</w:t>
      </w:r>
      <w:r>
        <w:rPr>
          <w:b w:val="0"/>
          <w:i w:val="0"/>
          <w:smallCaps w:val="0"/>
          <w:strike w:val="0"/>
          <w:sz w:val="22"/>
          <w:u w:val="single"/>
        </w:rPr>
        <w:t>. To a large extent, current</w:t>
      </w:r>
      <w:r>
        <w:rPr>
          <w:b w:val="0"/>
          <w:i w:val="0"/>
          <w:smallCaps w:val="0"/>
          <w:strike w:val="0"/>
          <w:sz w:val="16"/>
          <w:u w:val="none"/>
        </w:rPr>
        <w:t xml:space="preserve"> U.S. </w:t>
      </w:r>
      <w:r>
        <w:rPr>
          <w:b w:val="0"/>
          <w:i w:val="0"/>
          <w:smallCaps w:val="0"/>
          <w:strike w:val="0"/>
          <w:sz w:val="22"/>
          <w:highlight w:val="cyan"/>
          <w:u w:val="single"/>
        </w:rPr>
        <w:t>dissatisfaction with</w:t>
      </w:r>
      <w:r>
        <w:rPr>
          <w:b w:val="0"/>
          <w:i w:val="0"/>
          <w:smallCaps w:val="0"/>
          <w:strike w:val="0"/>
          <w:sz w:val="16"/>
          <w:u w:val="none"/>
        </w:rPr>
        <w:t xml:space="preserve"> the income </w:t>
      </w:r>
      <w:r>
        <w:rPr>
          <w:b w:val="0"/>
          <w:i w:val="0"/>
          <w:smallCaps w:val="0"/>
          <w:strike w:val="0"/>
          <w:sz w:val="22"/>
          <w:highlight w:val="cyan"/>
          <w:u w:val="single"/>
        </w:rPr>
        <w:t>tax stems from</w:t>
      </w:r>
      <w:r>
        <w:rPr>
          <w:b w:val="0"/>
          <w:i w:val="0"/>
          <w:smallCaps w:val="0"/>
          <w:strike w:val="0"/>
          <w:sz w:val="22"/>
          <w:u w:val="single"/>
        </w:rPr>
        <w:t xml:space="preserve"> the </w:t>
      </w:r>
      <w:r>
        <w:rPr>
          <w:b/>
          <w:i w:val="0"/>
          <w:smallCaps w:val="0"/>
          <w:strike w:val="0"/>
          <w:sz w:val="24"/>
          <w:highlight w:val="cyan"/>
          <w:u w:val="single"/>
        </w:rPr>
        <w:t>perception</w:t>
      </w:r>
      <w:r>
        <w:rPr>
          <w:b w:val="0"/>
          <w:i w:val="0"/>
          <w:smallCaps w:val="0"/>
          <w:strike w:val="0"/>
          <w:sz w:val="22"/>
          <w:u w:val="single"/>
        </w:rPr>
        <w:t xml:space="preserve"> that </w:t>
      </w:r>
      <w:r>
        <w:rPr>
          <w:b w:val="0"/>
          <w:i w:val="0"/>
          <w:smallCaps w:val="0"/>
          <w:strike w:val="0"/>
          <w:sz w:val="22"/>
          <w:highlight w:val="cyan"/>
          <w:u w:val="single"/>
        </w:rPr>
        <w:t xml:space="preserve">it is </w:t>
      </w:r>
      <w:r>
        <w:rPr>
          <w:b/>
          <w:i w:val="0"/>
          <w:smallCaps w:val="0"/>
          <w:strike w:val="0"/>
          <w:sz w:val="24"/>
          <w:highlight w:val="cyan"/>
          <w:u w:val="single"/>
        </w:rPr>
        <w:t>not progressive</w:t>
      </w:r>
      <w:r>
        <w:rPr>
          <w:b/>
          <w:i w:val="0"/>
          <w:smallCaps w:val="0"/>
          <w:strike w:val="0"/>
          <w:sz w:val="24"/>
          <w:u w:val="single"/>
        </w:rPr>
        <w:t xml:space="preserve"> enough</w:t>
      </w:r>
      <w:r>
        <w:rPr>
          <w:b w:val="0"/>
          <w:i w:val="0"/>
          <w:smallCaps w:val="0"/>
          <w:strike w:val="0"/>
          <w:sz w:val="16"/>
          <w:u w:val="none"/>
        </w:rPr>
        <w:t xml:space="preserve"> - that is, that the rich can avoid paying their "fair share." 114 The result of this dissatisfaction has been attempts to ensure that the rich pay their "fair share" (like the AMT), and attempts to reduce opportunities and incentives for avoidance by broadening the tax base while reducing the top rate (the 1986 tax reform). Both of these may have failed, but the solution is not to abandon the effort to tax the rich by adopting a consumption tax. It is always hard to persuade the majority to pay their taxes when it is perceived that the wealthy minority do not pay theirs. </w:t>
      </w:r>
      <w:r>
        <w:rPr>
          <w:b w:val="0"/>
          <w:i w:val="0"/>
          <w:smallCaps w:val="0"/>
          <w:strike w:val="0"/>
          <w:sz w:val="22"/>
          <w:highlight w:val="cyan"/>
          <w:u w:val="single"/>
        </w:rPr>
        <w:t xml:space="preserve">A </w:t>
      </w:r>
      <w:r>
        <w:rPr>
          <w:b/>
          <w:i w:val="0"/>
          <w:smallCaps w:val="0"/>
          <w:strike w:val="0"/>
          <w:sz w:val="24"/>
          <w:highlight w:val="cyan"/>
          <w:u w:val="single"/>
        </w:rPr>
        <w:t>commitment</w:t>
      </w:r>
      <w:r>
        <w:rPr>
          <w:b w:val="0"/>
          <w:i w:val="0"/>
          <w:smallCaps w:val="0"/>
          <w:strike w:val="0"/>
          <w:sz w:val="22"/>
          <w:highlight w:val="cyan"/>
          <w:u w:val="single"/>
        </w:rPr>
        <w:t xml:space="preserve"> to </w:t>
      </w:r>
      <w:r>
        <w:rPr>
          <w:b/>
          <w:i w:val="0"/>
          <w:smallCaps w:val="0"/>
          <w:strike w:val="0"/>
          <w:sz w:val="24"/>
          <w:highlight w:val="cyan"/>
          <w:u w:val="single"/>
        </w:rPr>
        <w:t>progressivity</w:t>
      </w:r>
      <w:r>
        <w:rPr>
          <w:b w:val="0"/>
          <w:i w:val="0"/>
          <w:smallCaps w:val="0"/>
          <w:strike w:val="0"/>
          <w:sz w:val="22"/>
          <w:highlight w:val="cyan"/>
          <w:u w:val="single"/>
        </w:rPr>
        <w:t xml:space="preserve"> in taxation is </w:t>
      </w:r>
      <w:r>
        <w:rPr>
          <w:b/>
          <w:i w:val="0"/>
          <w:smallCaps w:val="0"/>
          <w:strike w:val="0"/>
          <w:sz w:val="24"/>
          <w:highlight w:val="cyan"/>
          <w:u w:val="single"/>
        </w:rPr>
        <w:t>a</w:t>
      </w:r>
      <w:r>
        <w:rPr>
          <w:b w:val="0"/>
          <w:i w:val="0"/>
          <w:smallCaps w:val="0"/>
          <w:strike w:val="0"/>
          <w:sz w:val="22"/>
          <w:u w:val="single"/>
        </w:rPr>
        <w:t xml:space="preserve">n </w:t>
      </w:r>
      <w:r>
        <w:rPr>
          <w:b/>
          <w:i w:val="0"/>
          <w:smallCaps w:val="0"/>
          <w:strike w:val="0"/>
          <w:sz w:val="24"/>
          <w:u w:val="single"/>
        </w:rPr>
        <w:t xml:space="preserve">important </w:t>
      </w:r>
      <w:r>
        <w:rPr>
          <w:b/>
          <w:i w:val="0"/>
          <w:smallCaps w:val="0"/>
          <w:strike w:val="0"/>
          <w:sz w:val="24"/>
          <w:highlight w:val="cyan"/>
          <w:u w:val="single"/>
        </w:rPr>
        <w:t>symbolic bulwark</w:t>
      </w:r>
      <w:r>
        <w:rPr>
          <w:b w:val="0"/>
          <w:i w:val="0"/>
          <w:smallCaps w:val="0"/>
          <w:strike w:val="0"/>
          <w:sz w:val="24"/>
          <w:highlight w:val="cyan"/>
          <w:u w:val="single"/>
        </w:rPr>
        <w:t xml:space="preserve"> </w:t>
      </w:r>
      <w:r>
        <w:rPr>
          <w:b w:val="0"/>
          <w:i w:val="0"/>
          <w:smallCaps w:val="0"/>
          <w:strike w:val="0"/>
          <w:sz w:val="22"/>
          <w:highlight w:val="cyan"/>
          <w:u w:val="single"/>
        </w:rPr>
        <w:t>for</w:t>
      </w:r>
      <w:r>
        <w:rPr>
          <w:b w:val="0"/>
          <w:i w:val="0"/>
          <w:smallCaps w:val="0"/>
          <w:strike w:val="0"/>
          <w:sz w:val="22"/>
          <w:u w:val="single"/>
        </w:rPr>
        <w:t xml:space="preserve"> the </w:t>
      </w:r>
      <w:r>
        <w:rPr>
          <w:b w:val="0"/>
          <w:i w:val="0"/>
          <w:smallCaps w:val="0"/>
          <w:strike w:val="0"/>
          <w:sz w:val="22"/>
          <w:highlight w:val="cyan"/>
          <w:u w:val="single"/>
        </w:rPr>
        <w:t>legitimacy of the</w:t>
      </w:r>
      <w:r>
        <w:rPr>
          <w:b w:val="0"/>
          <w:i w:val="0"/>
          <w:smallCaps w:val="0"/>
          <w:strike w:val="0"/>
          <w:sz w:val="22"/>
          <w:u w:val="single"/>
        </w:rPr>
        <w:t xml:space="preserve"> tax </w:t>
      </w:r>
      <w:r>
        <w:rPr>
          <w:b w:val="0"/>
          <w:i w:val="0"/>
          <w:smallCaps w:val="0"/>
          <w:strike w:val="0"/>
          <w:sz w:val="22"/>
          <w:highlight w:val="cyan"/>
          <w:u w:val="single"/>
        </w:rPr>
        <w:t xml:space="preserve">system </w:t>
      </w:r>
      <w:r>
        <w:rPr>
          <w:b/>
          <w:i w:val="0"/>
          <w:smallCaps w:val="0"/>
          <w:strike w:val="0"/>
          <w:sz w:val="24"/>
          <w:highlight w:val="cyan"/>
          <w:u w:val="single"/>
        </w:rPr>
        <w:t>as a whole</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