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Taxes apply </w:t>
      </w:r>
      <w:r>
        <w:rPr>
          <w:b/>
          <w:i w:val="0"/>
          <w:smallCaps w:val="0"/>
          <w:strike w:val="0"/>
          <w:sz w:val="26"/>
          <w:u w:val="single"/>
        </w:rPr>
        <w:t>internationally</w:t>
      </w:r>
      <w:r>
        <w:rPr>
          <w:b/>
          <w:i w:val="0"/>
          <w:smallCaps w:val="0"/>
          <w:strike w:val="0"/>
          <w:sz w:val="26"/>
          <w:u w:val="none"/>
        </w:rPr>
        <w:t xml:space="preserve"> AND cover </w:t>
      </w:r>
      <w:r>
        <w:rPr>
          <w:b/>
          <w:i w:val="0"/>
          <w:smallCaps w:val="0"/>
          <w:strike w:val="0"/>
          <w:sz w:val="26"/>
          <w:u w:val="single"/>
        </w:rPr>
        <w:t>MNCs</w:t>
      </w:r>
      <w:r>
        <w:rPr>
          <w:b/>
          <w:i w:val="0"/>
          <w:smallCaps w:val="0"/>
          <w:strike w:val="0"/>
          <w:sz w:val="26"/>
          <w:u w:val="none"/>
        </w:rPr>
        <w:t xml:space="preserve">. </w:t>
      </w:r>
    </w:p>
    <w:p>
      <w:pPr>
        <w:spacing w:after="80"/>
      </w:pPr>
      <w:r>
        <w:rPr>
          <w:b/>
          <w:i w:val="0"/>
          <w:smallCaps w:val="0"/>
          <w:strike w:val="0"/>
          <w:sz w:val="26"/>
          <w:u w:val="none"/>
        </w:rPr>
        <w:t xml:space="preserve">Riza ’13 </w:t>
      </w:r>
      <w:r>
        <w:rPr>
          <w:b w:val="0"/>
          <w:i w:val="0"/>
          <w:smallCaps w:val="0"/>
          <w:strike w:val="0"/>
          <w:u w:val="none"/>
        </w:rPr>
        <w:t>[Limor; Senior Lecturer of Law, Faculty of Law at Ono Academic College; Houston Business and Tax Law Journal, “Should Tax Law Mind Minority and Monitor Majority: The Case of Undistributed Dividends and the Ability-To-Pay Principle,” vol. 13]</w:t>
      </w:r>
    </w:p>
    <w:p>
      <w:pPr>
        <w:spacing w:after="60"/>
      </w:pPr>
      <w:r>
        <w:rPr>
          <w:b w:val="0"/>
          <w:i w:val="0"/>
          <w:smallCaps w:val="0"/>
          <w:strike w:val="0"/>
          <w:sz w:val="16"/>
          <w:u w:val="none"/>
        </w:rPr>
        <w:t xml:space="preserve">A different approach to the justification of two-tier taxation was offered by Avi-Yonah, who has justified the concept of </w:t>
      </w:r>
      <w:r>
        <w:rPr>
          <w:b w:val="0"/>
          <w:i w:val="0"/>
          <w:smallCaps w:val="0"/>
          <w:strike w:val="0"/>
          <w:sz w:val="22"/>
          <w:u w:val="single"/>
        </w:rPr>
        <w:t xml:space="preserve">corporate taxation as a </w:t>
      </w:r>
      <w:r>
        <w:rPr>
          <w:b/>
          <w:i w:val="0"/>
          <w:smallCaps w:val="0"/>
          <w:strike w:val="0"/>
          <w:sz w:val="24"/>
          <w:u w:val="single"/>
        </w:rPr>
        <w:t>controlling</w:t>
      </w:r>
      <w:r>
        <w:rPr>
          <w:b w:val="0"/>
          <w:i w:val="0"/>
          <w:smallCaps w:val="0"/>
          <w:strike w:val="0"/>
          <w:sz w:val="22"/>
          <w:u w:val="single"/>
        </w:rPr>
        <w:t xml:space="preserve"> mechanism for </w:t>
      </w:r>
      <w:r>
        <w:rPr>
          <w:b/>
          <w:i w:val="0"/>
          <w:smallCaps w:val="0"/>
          <w:strike w:val="0"/>
          <w:sz w:val="24"/>
          <w:u w:val="single"/>
        </w:rPr>
        <w:t>restraining</w:t>
      </w:r>
      <w:r>
        <w:rPr>
          <w:b w:val="0"/>
          <w:i w:val="0"/>
          <w:smallCaps w:val="0"/>
          <w:strike w:val="0"/>
          <w:sz w:val="22"/>
          <w:u w:val="single"/>
        </w:rPr>
        <w:t xml:space="preserve"> excessive power held by</w:t>
      </w:r>
      <w:r>
        <w:rPr>
          <w:b w:val="0"/>
          <w:i w:val="0"/>
          <w:smallCaps w:val="0"/>
          <w:strike w:val="0"/>
          <w:sz w:val="16"/>
          <w:u w:val="none"/>
        </w:rPr>
        <w:t xml:space="preserve"> contemporary </w:t>
      </w:r>
      <w:r>
        <w:rPr>
          <w:b w:val="0"/>
          <w:i w:val="0"/>
          <w:smallCaps w:val="0"/>
          <w:strike w:val="0"/>
          <w:sz w:val="22"/>
          <w:u w:val="single"/>
        </w:rPr>
        <w:t>corporations</w:t>
      </w:r>
      <w:r>
        <w:rPr>
          <w:b w:val="0"/>
          <w:i w:val="0"/>
          <w:smallCaps w:val="0"/>
          <w:strike w:val="0"/>
          <w:sz w:val="16"/>
          <w:u w:val="none"/>
        </w:rPr>
        <w:t xml:space="preserve">. 114 He claims that the normative concept of corporate income taxes has grown alongside the development of the corporate forms but those concepts ignored corporate changes. 115 He claims that corporations in our new world encompass wealth and power, and therefore, </w:t>
      </w:r>
      <w:r>
        <w:rPr>
          <w:b w:val="0"/>
          <w:i w:val="0"/>
          <w:smallCaps w:val="0"/>
          <w:strike w:val="0"/>
          <w:sz w:val="22"/>
          <w:u w:val="single"/>
        </w:rPr>
        <w:t xml:space="preserve">corporate tax should be justified on a </w:t>
      </w:r>
      <w:r>
        <w:rPr>
          <w:b/>
          <w:i w:val="0"/>
          <w:smallCaps w:val="0"/>
          <w:strike w:val="0"/>
          <w:sz w:val="24"/>
          <w:u w:val="single"/>
        </w:rPr>
        <w:t>regulatory</w:t>
      </w:r>
      <w:r>
        <w:rPr>
          <w:b w:val="0"/>
          <w:i w:val="0"/>
          <w:smallCaps w:val="0"/>
          <w:strike w:val="0"/>
          <w:sz w:val="22"/>
          <w:u w:val="single"/>
        </w:rPr>
        <w:t xml:space="preserve"> basis</w:t>
      </w:r>
      <w:r>
        <w:rPr>
          <w:b w:val="0"/>
          <w:i w:val="0"/>
          <w:smallCaps w:val="0"/>
          <w:strike w:val="0"/>
          <w:sz w:val="16"/>
          <w:u w:val="none"/>
        </w:rPr>
        <w:t xml:space="preserve">. 116 </w:t>
      </w:r>
      <w:r>
        <w:rPr>
          <w:b w:val="0"/>
          <w:i w:val="0"/>
          <w:smallCaps w:val="0"/>
          <w:strike w:val="0"/>
          <w:sz w:val="22"/>
          <w:highlight w:val="cyan"/>
          <w:u w:val="single"/>
        </w:rPr>
        <w:t xml:space="preserve">Corporate tax may </w:t>
      </w:r>
      <w:r>
        <w:rPr>
          <w:b/>
          <w:i w:val="0"/>
          <w:smallCaps w:val="0"/>
          <w:strike w:val="0"/>
          <w:sz w:val="24"/>
          <w:highlight w:val="cyan"/>
          <w:u w:val="single"/>
        </w:rPr>
        <w:t>assist</w:t>
      </w:r>
      <w:r>
        <w:rPr>
          <w:b w:val="0"/>
          <w:i w:val="0"/>
          <w:smallCaps w:val="0"/>
          <w:strike w:val="0"/>
          <w:sz w:val="22"/>
          <w:u w:val="single"/>
        </w:rPr>
        <w:t xml:space="preserve"> in </w:t>
      </w:r>
      <w:r>
        <w:rPr>
          <w:b/>
          <w:i w:val="0"/>
          <w:smallCaps w:val="0"/>
          <w:strike w:val="0"/>
          <w:sz w:val="24"/>
          <w:highlight w:val="cyan"/>
          <w:u w:val="single"/>
        </w:rPr>
        <w:t>controlling</w:t>
      </w:r>
      <w:r>
        <w:rPr>
          <w:b w:val="0"/>
          <w:i w:val="0"/>
          <w:smallCaps w:val="0"/>
          <w:strike w:val="0"/>
          <w:sz w:val="22"/>
          <w:u w:val="single"/>
        </w:rPr>
        <w:t xml:space="preserve"> the massive power held by</w:t>
      </w:r>
      <w:r>
        <w:rPr>
          <w:b w:val="0"/>
          <w:i w:val="0"/>
          <w:smallCaps w:val="0"/>
          <w:strike w:val="0"/>
          <w:sz w:val="16"/>
          <w:u w:val="none"/>
        </w:rPr>
        <w:t xml:space="preserve"> corporate </w:t>
      </w:r>
      <w:r>
        <w:rPr>
          <w:b w:val="0"/>
          <w:i w:val="0"/>
          <w:smallCaps w:val="0"/>
          <w:strike w:val="0"/>
          <w:sz w:val="22"/>
          <w:u w:val="single"/>
        </w:rPr>
        <w:t>m</w:t>
      </w:r>
      <w:r>
        <w:rPr>
          <w:b w:val="0"/>
          <w:i w:val="0"/>
          <w:smallCaps w:val="0"/>
          <w:strike w:val="0"/>
          <w:sz w:val="22"/>
          <w:u w:val="single"/>
        </w:rPr>
        <w:t>anagers</w:t>
      </w:r>
      <w:r>
        <w:rPr>
          <w:b w:val="0"/>
          <w:i w:val="0"/>
          <w:smallCaps w:val="0"/>
          <w:strike w:val="0"/>
          <w:sz w:val="16"/>
          <w:u w:val="none"/>
        </w:rPr>
        <w:t xml:space="preserve">. 117 Avi-Yonah, thus, argues that </w:t>
      </w:r>
      <w:r>
        <w:rPr>
          <w:b w:val="0"/>
          <w:i w:val="0"/>
          <w:smallCaps w:val="0"/>
          <w:strike w:val="0"/>
          <w:sz w:val="22"/>
          <w:u w:val="single"/>
        </w:rPr>
        <w:t xml:space="preserve">corporate </w:t>
      </w:r>
      <w:r>
        <w:rPr>
          <w:b w:val="0"/>
          <w:i w:val="0"/>
          <w:smallCaps w:val="0"/>
          <w:strike w:val="0"/>
          <w:sz w:val="22"/>
          <w:highlight w:val="cyan"/>
          <w:u w:val="single"/>
        </w:rPr>
        <w:t>tax</w:t>
      </w:r>
      <w:r>
        <w:rPr>
          <w:b w:val="0"/>
          <w:i w:val="0"/>
          <w:smallCaps w:val="0"/>
          <w:strike w:val="0"/>
          <w:sz w:val="22"/>
          <w:u w:val="single"/>
        </w:rPr>
        <w:t xml:space="preserve"> can </w:t>
      </w:r>
      <w:r>
        <w:rPr>
          <w:b/>
          <w:i w:val="0"/>
          <w:smallCaps w:val="0"/>
          <w:strike w:val="0"/>
          <w:sz w:val="24"/>
          <w:highlight w:val="cyan"/>
          <w:u w:val="single"/>
        </w:rPr>
        <w:t>discipline</w:t>
      </w:r>
      <w:r>
        <w:rPr>
          <w:b w:val="0"/>
          <w:i w:val="0"/>
          <w:smallCaps w:val="0"/>
          <w:strike w:val="0"/>
          <w:sz w:val="22"/>
          <w:u w:val="single"/>
        </w:rPr>
        <w:t xml:space="preserve"> </w:t>
      </w:r>
      <w:r>
        <w:rPr>
          <w:b w:val="0"/>
          <w:i w:val="0"/>
          <w:smallCaps w:val="0"/>
          <w:strike w:val="0"/>
          <w:sz w:val="22"/>
          <w:u w:val="single"/>
        </w:rPr>
        <w:t xml:space="preserve">managers </w:t>
      </w:r>
      <w:r>
        <w:rPr>
          <w:b w:val="0"/>
          <w:i w:val="0"/>
          <w:smallCaps w:val="0"/>
          <w:strike w:val="0"/>
          <w:sz w:val="22"/>
          <w:highlight w:val="cyan"/>
          <w:u w:val="single"/>
        </w:rPr>
        <w:t xml:space="preserve">operating </w:t>
      </w:r>
      <w:r>
        <w:rPr>
          <w:b/>
          <w:i w:val="0"/>
          <w:smallCaps w:val="0"/>
          <w:strike w:val="0"/>
          <w:sz w:val="24"/>
          <w:highlight w:val="cyan"/>
          <w:u w:val="single"/>
        </w:rPr>
        <w:t>m</w:t>
      </w:r>
      <w:r>
        <w:rPr>
          <w:b w:val="0"/>
          <w:i w:val="0"/>
          <w:smallCaps w:val="0"/>
          <w:strike w:val="0"/>
          <w:sz w:val="16"/>
          <w:u w:val="none"/>
        </w:rPr>
        <w:t>ulti</w:t>
      </w:r>
      <w:r>
        <w:rPr>
          <w:b/>
          <w:i w:val="0"/>
          <w:smallCaps w:val="0"/>
          <w:strike w:val="0"/>
          <w:sz w:val="24"/>
          <w:highlight w:val="cyan"/>
          <w:u w:val="single"/>
        </w:rPr>
        <w:t>n</w:t>
      </w:r>
      <w:r>
        <w:rPr>
          <w:b w:val="0"/>
          <w:i w:val="0"/>
          <w:smallCaps w:val="0"/>
          <w:strike w:val="0"/>
          <w:sz w:val="16"/>
          <w:u w:val="none"/>
        </w:rPr>
        <w:t xml:space="preserve">ational </w:t>
      </w:r>
      <w:r>
        <w:rPr>
          <w:b/>
          <w:i w:val="0"/>
          <w:smallCaps w:val="0"/>
          <w:strike w:val="0"/>
          <w:sz w:val="24"/>
          <w:highlight w:val="cyan"/>
          <w:u w:val="single"/>
        </w:rPr>
        <w:t>c</w:t>
      </w:r>
      <w:r>
        <w:rPr>
          <w:b w:val="0"/>
          <w:i w:val="0"/>
          <w:smallCaps w:val="0"/>
          <w:strike w:val="0"/>
          <w:sz w:val="16"/>
          <w:u w:val="none"/>
        </w:rPr>
        <w:t>orporation</w:t>
      </w:r>
      <w:r>
        <w:rPr>
          <w:b/>
          <w:i w:val="0"/>
          <w:smallCaps w:val="0"/>
          <w:strike w:val="0"/>
          <w:sz w:val="24"/>
          <w:highlight w:val="cyan"/>
          <w:u w:val="single"/>
        </w:rPr>
        <w:t>s</w:t>
      </w:r>
      <w:r>
        <w:rPr>
          <w:b w:val="0"/>
          <w:i w:val="0"/>
          <w:smallCaps w:val="0"/>
          <w:strike w:val="0"/>
          <w:sz w:val="16"/>
          <w:u w:val="none"/>
        </w:rPr>
        <w:t>. 118</w:t>
      </w:r>
    </w:p>
    <w:p>
      <w:pPr>
        <w:spacing w:after="60"/>
      </w:pPr>
      <w:r>
        <w:rPr>
          <w:b w:val="0"/>
          <w:i w:val="0"/>
          <w:smallCaps w:val="0"/>
          <w:strike w:val="0"/>
          <w:sz w:val="16"/>
          <w:u w:val="none"/>
        </w:rPr>
        <w:t>&lt;&lt;FOOTNOTE 117 BEGINS&gt;&gt;</w:t>
      </w:r>
    </w:p>
    <w:p>
      <w:pPr>
        <w:spacing w:after="60"/>
      </w:pPr>
      <w:r>
        <w:rPr>
          <w:b w:val="0"/>
          <w:i w:val="0"/>
          <w:smallCaps w:val="0"/>
          <w:strike w:val="0"/>
          <w:sz w:val="22"/>
          <w:u w:val="single"/>
        </w:rPr>
        <w:t>Id</w:t>
      </w:r>
      <w:r>
        <w:rPr>
          <w:b w:val="0"/>
          <w:i w:val="0"/>
          <w:smallCaps w:val="0"/>
          <w:strike w:val="0"/>
          <w:sz w:val="16"/>
          <w:u w:val="none"/>
        </w:rPr>
        <w:t>. at 1244-45 (</w:t>
      </w:r>
      <w:r>
        <w:rPr>
          <w:b/>
          <w:i w:val="0"/>
          <w:smallCaps w:val="0"/>
          <w:strike w:val="0"/>
          <w:sz w:val="24"/>
          <w:u w:val="single"/>
        </w:rPr>
        <w:t>claim</w:t>
      </w:r>
      <w:r>
        <w:rPr>
          <w:b w:val="0"/>
          <w:i w:val="0"/>
          <w:smallCaps w:val="0"/>
          <w:strike w:val="0"/>
          <w:sz w:val="22"/>
          <w:u w:val="single"/>
        </w:rPr>
        <w:t>ing that</w:t>
      </w:r>
      <w:r>
        <w:rPr>
          <w:b w:val="0"/>
          <w:i w:val="0"/>
          <w:smallCaps w:val="0"/>
          <w:strike w:val="0"/>
          <w:sz w:val="16"/>
          <w:u w:val="none"/>
        </w:rPr>
        <w:t xml:space="preserve"> the common local </w:t>
      </w:r>
      <w:r>
        <w:rPr>
          <w:b/>
          <w:i w:val="0"/>
          <w:smallCaps w:val="0"/>
          <w:strike w:val="0"/>
          <w:sz w:val="24"/>
          <w:highlight w:val="cyan"/>
          <w:u w:val="single"/>
        </w:rPr>
        <w:t>non-tax</w:t>
      </w:r>
      <w:r>
        <w:rPr>
          <w:b w:val="0"/>
          <w:i w:val="0"/>
          <w:smallCaps w:val="0"/>
          <w:strike w:val="0"/>
          <w:sz w:val="22"/>
          <w:highlight w:val="cyan"/>
          <w:u w:val="single"/>
        </w:rPr>
        <w:t xml:space="preserve"> regulations do </w:t>
      </w:r>
      <w:r>
        <w:rPr>
          <w:b/>
          <w:i w:val="0"/>
          <w:smallCaps w:val="0"/>
          <w:strike w:val="0"/>
          <w:sz w:val="24"/>
          <w:highlight w:val="cyan"/>
          <w:u w:val="single"/>
        </w:rPr>
        <w:t>not</w:t>
      </w:r>
      <w:r>
        <w:rPr>
          <w:b w:val="0"/>
          <w:i w:val="0"/>
          <w:smallCaps w:val="0"/>
          <w:strike w:val="0"/>
          <w:sz w:val="22"/>
          <w:u w:val="single"/>
        </w:rPr>
        <w:t xml:space="preserve"> have an </w:t>
      </w:r>
      <w:r>
        <w:rPr>
          <w:b w:val="0"/>
          <w:i w:val="0"/>
          <w:smallCaps w:val="0"/>
          <w:strike w:val="0"/>
          <w:sz w:val="22"/>
          <w:highlight w:val="cyan"/>
          <w:u w:val="single"/>
        </w:rPr>
        <w:t>impact</w:t>
      </w:r>
      <w:r>
        <w:rPr>
          <w:b w:val="0"/>
          <w:i w:val="0"/>
          <w:smallCaps w:val="0"/>
          <w:strike w:val="0"/>
          <w:sz w:val="22"/>
          <w:u w:val="single"/>
        </w:rPr>
        <w:t xml:space="preserve"> on </w:t>
      </w:r>
      <w:r>
        <w:rPr>
          <w:b/>
          <w:i w:val="0"/>
          <w:smallCaps w:val="0"/>
          <w:strike w:val="0"/>
          <w:sz w:val="24"/>
          <w:u w:val="single"/>
        </w:rPr>
        <w:t>m</w:t>
      </w:r>
      <w:r>
        <w:rPr>
          <w:b w:val="0"/>
          <w:i w:val="0"/>
          <w:smallCaps w:val="0"/>
          <w:strike w:val="0"/>
          <w:sz w:val="16"/>
          <w:u w:val="none"/>
        </w:rPr>
        <w:t>ulti</w:t>
      </w:r>
      <w:r>
        <w:rPr>
          <w:b/>
          <w:i w:val="0"/>
          <w:smallCaps w:val="0"/>
          <w:strike w:val="0"/>
          <w:sz w:val="24"/>
          <w:u w:val="single"/>
        </w:rPr>
        <w:t>n</w:t>
      </w:r>
      <w:r>
        <w:rPr>
          <w:b w:val="0"/>
          <w:i w:val="0"/>
          <w:smallCaps w:val="0"/>
          <w:strike w:val="0"/>
          <w:sz w:val="16"/>
          <w:u w:val="none"/>
        </w:rPr>
        <w:t xml:space="preserve">ational </w:t>
      </w:r>
      <w:r>
        <w:rPr>
          <w:b/>
          <w:i w:val="0"/>
          <w:smallCaps w:val="0"/>
          <w:strike w:val="0"/>
          <w:sz w:val="24"/>
          <w:u w:val="single"/>
        </w:rPr>
        <w:t>c</w:t>
      </w:r>
      <w:r>
        <w:rPr>
          <w:b w:val="0"/>
          <w:i w:val="0"/>
          <w:smallCaps w:val="0"/>
          <w:strike w:val="0"/>
          <w:sz w:val="16"/>
          <w:u w:val="none"/>
        </w:rPr>
        <w:t>orporation</w:t>
      </w:r>
      <w:r>
        <w:rPr>
          <w:b/>
          <w:i w:val="0"/>
          <w:smallCaps w:val="0"/>
          <w:strike w:val="0"/>
          <w:sz w:val="24"/>
          <w:u w:val="single"/>
        </w:rPr>
        <w:t>s</w:t>
      </w:r>
      <w:r>
        <w:rPr>
          <w:b w:val="0"/>
          <w:i w:val="0"/>
          <w:smallCaps w:val="0"/>
          <w:strike w:val="0"/>
          <w:sz w:val="22"/>
          <w:u w:val="single"/>
        </w:rPr>
        <w:t xml:space="preserve"> which carry out</w:t>
      </w:r>
      <w:r>
        <w:rPr>
          <w:b w:val="0"/>
          <w:i w:val="0"/>
          <w:smallCaps w:val="0"/>
          <w:strike w:val="0"/>
          <w:sz w:val="16"/>
          <w:u w:val="none"/>
        </w:rPr>
        <w:t xml:space="preserve"> their </w:t>
      </w:r>
      <w:r>
        <w:rPr>
          <w:b w:val="0"/>
          <w:i w:val="0"/>
          <w:smallCaps w:val="0"/>
          <w:strike w:val="0"/>
          <w:sz w:val="22"/>
          <w:highlight w:val="cyan"/>
          <w:u w:val="single"/>
        </w:rPr>
        <w:t xml:space="preserve">business </w:t>
      </w:r>
      <w:r>
        <w:rPr>
          <w:b/>
          <w:i w:val="0"/>
          <w:smallCaps w:val="0"/>
          <w:strike w:val="0"/>
          <w:sz w:val="24"/>
          <w:highlight w:val="cyan"/>
          <w:u w:val="single"/>
        </w:rPr>
        <w:t>abroad</w:t>
      </w:r>
      <w:r>
        <w:rPr>
          <w:b w:val="0"/>
          <w:i w:val="0"/>
          <w:smallCaps w:val="0"/>
          <w:strike w:val="0"/>
          <w:sz w:val="16"/>
          <w:u w:val="none"/>
        </w:rPr>
        <w:t xml:space="preserve">. Common regulatory power has local influence but not a global one. </w:t>
      </w:r>
      <w:r>
        <w:rPr>
          <w:b w:val="0"/>
          <w:i w:val="0"/>
          <w:smallCaps w:val="0"/>
          <w:strike w:val="0"/>
          <w:sz w:val="22"/>
          <w:highlight w:val="cyan"/>
          <w:u w:val="single"/>
        </w:rPr>
        <w:t xml:space="preserve">Tax laws, </w:t>
      </w:r>
      <w:r>
        <w:rPr>
          <w:b/>
          <w:i w:val="0"/>
          <w:smallCaps w:val="0"/>
          <w:strike w:val="0"/>
          <w:sz w:val="24"/>
          <w:highlight w:val="cyan"/>
          <w:u w:val="single"/>
        </w:rPr>
        <w:t>on the other hand</w:t>
      </w:r>
      <w:r>
        <w:rPr>
          <w:b w:val="0"/>
          <w:i w:val="0"/>
          <w:smallCaps w:val="0"/>
          <w:strike w:val="0"/>
          <w:sz w:val="22"/>
          <w:highlight w:val="cyan"/>
          <w:u w:val="single"/>
        </w:rPr>
        <w:t>, have</w:t>
      </w:r>
      <w:r>
        <w:rPr>
          <w:b w:val="0"/>
          <w:i w:val="0"/>
          <w:smallCaps w:val="0"/>
          <w:strike w:val="0"/>
          <w:sz w:val="22"/>
          <w:u w:val="single"/>
        </w:rPr>
        <w:t xml:space="preserve"> the </w:t>
      </w:r>
      <w:r>
        <w:rPr>
          <w:b w:val="0"/>
          <w:i w:val="0"/>
          <w:smallCaps w:val="0"/>
          <w:strike w:val="0"/>
          <w:sz w:val="22"/>
          <w:highlight w:val="cyan"/>
          <w:u w:val="single"/>
        </w:rPr>
        <w:t>power to serve as a</w:t>
      </w:r>
      <w:r>
        <w:rPr>
          <w:b w:val="0"/>
          <w:i w:val="0"/>
          <w:smallCaps w:val="0"/>
          <w:strike w:val="0"/>
          <w:sz w:val="22"/>
          <w:u w:val="single"/>
        </w:rPr>
        <w:t xml:space="preserve"> </w:t>
      </w:r>
      <w:r>
        <w:rPr>
          <w:b/>
          <w:i w:val="0"/>
          <w:smallCaps w:val="0"/>
          <w:strike w:val="0"/>
          <w:sz w:val="24"/>
          <w:u w:val="single"/>
        </w:rPr>
        <w:t xml:space="preserve">regulatory </w:t>
      </w:r>
      <w:r>
        <w:rPr>
          <w:b/>
          <w:i w:val="0"/>
          <w:smallCaps w:val="0"/>
          <w:strike w:val="0"/>
          <w:sz w:val="24"/>
          <w:highlight w:val="cyan"/>
          <w:u w:val="single"/>
        </w:rPr>
        <w:t>mechanism</w:t>
      </w:r>
      <w:r>
        <w:rPr>
          <w:b w:val="0"/>
          <w:i w:val="0"/>
          <w:smallCaps w:val="0"/>
          <w:strike w:val="0"/>
          <w:sz w:val="22"/>
          <w:highlight w:val="cyan"/>
          <w:u w:val="single"/>
        </w:rPr>
        <w:t xml:space="preserve"> for</w:t>
      </w:r>
      <w:r>
        <w:rPr>
          <w:b w:val="0"/>
          <w:i w:val="0"/>
          <w:smallCaps w:val="0"/>
          <w:strike w:val="0"/>
          <w:sz w:val="22"/>
          <w:u w:val="single"/>
        </w:rPr>
        <w:t xml:space="preserve"> national </w:t>
      </w:r>
      <w:r>
        <w:rPr>
          <w:b/>
          <w:i w:val="0"/>
          <w:smallCaps w:val="0"/>
          <w:strike w:val="0"/>
          <w:sz w:val="24"/>
          <w:u w:val="single"/>
        </w:rPr>
        <w:t xml:space="preserve">and </w:t>
      </w:r>
      <w:r>
        <w:rPr>
          <w:b/>
          <w:i w:val="0"/>
          <w:smallCaps w:val="0"/>
          <w:strike w:val="0"/>
          <w:sz w:val="24"/>
          <w:highlight w:val="cyan"/>
          <w:u w:val="single"/>
        </w:rPr>
        <w:t>international</w:t>
      </w:r>
      <w:r>
        <w:rPr>
          <w:b w:val="0"/>
          <w:i w:val="0"/>
          <w:smallCaps w:val="0"/>
          <w:strike w:val="0"/>
          <w:sz w:val="22"/>
          <w:u w:val="single"/>
        </w:rPr>
        <w:t xml:space="preserve"> activities and </w:t>
      </w:r>
      <w:r>
        <w:rPr>
          <w:b w:val="0"/>
          <w:i w:val="0"/>
          <w:smallCaps w:val="0"/>
          <w:strike w:val="0"/>
          <w:sz w:val="22"/>
          <w:highlight w:val="cyan"/>
          <w:u w:val="single"/>
        </w:rPr>
        <w:t>organizations</w:t>
      </w:r>
      <w:r>
        <w:rPr>
          <w:b w:val="0"/>
          <w:i w:val="0"/>
          <w:smallCaps w:val="0"/>
          <w:strike w:val="0"/>
          <w:sz w:val="22"/>
          <w:u w:val="single"/>
        </w:rPr>
        <w:t xml:space="preserve">. Tax laws embracing </w:t>
      </w:r>
      <w:r>
        <w:rPr>
          <w:b w:val="0"/>
          <w:i w:val="0"/>
          <w:smallCaps w:val="0"/>
          <w:strike w:val="0"/>
          <w:sz w:val="22"/>
          <w:highlight w:val="cyan"/>
          <w:u w:val="single"/>
        </w:rPr>
        <w:t>the</w:t>
      </w:r>
      <w:r>
        <w:rPr>
          <w:b w:val="0"/>
          <w:i w:val="0"/>
          <w:smallCaps w:val="0"/>
          <w:strike w:val="0"/>
          <w:sz w:val="22"/>
          <w:u w:val="single"/>
        </w:rPr>
        <w:t xml:space="preserve"> well-recognized </w:t>
      </w:r>
      <w:r>
        <w:rPr>
          <w:b/>
          <w:i w:val="0"/>
          <w:smallCaps w:val="0"/>
          <w:strike w:val="0"/>
          <w:sz w:val="24"/>
          <w:highlight w:val="cyan"/>
          <w:u w:val="single"/>
        </w:rPr>
        <w:t>residence principle</w:t>
      </w:r>
      <w:r>
        <w:rPr>
          <w:b w:val="0"/>
          <w:i w:val="0"/>
          <w:smallCaps w:val="0"/>
          <w:strike w:val="0"/>
          <w:sz w:val="22"/>
          <w:highlight w:val="cyan"/>
          <w:u w:val="single"/>
        </w:rPr>
        <w:t xml:space="preserve"> subject</w:t>
      </w:r>
      <w:r>
        <w:rPr>
          <w:b w:val="0"/>
          <w:i w:val="0"/>
          <w:smallCaps w:val="0"/>
          <w:strike w:val="0"/>
          <w:sz w:val="22"/>
          <w:u w:val="single"/>
        </w:rPr>
        <w:t xml:space="preserve"> those </w:t>
      </w:r>
      <w:r>
        <w:rPr>
          <w:b w:val="0"/>
          <w:i w:val="0"/>
          <w:smallCaps w:val="0"/>
          <w:strike w:val="0"/>
          <w:sz w:val="22"/>
          <w:highlight w:val="cyan"/>
          <w:u w:val="single"/>
        </w:rPr>
        <w:t>corporations to</w:t>
      </w:r>
      <w:r>
        <w:rPr>
          <w:b w:val="0"/>
          <w:i w:val="0"/>
          <w:smallCaps w:val="0"/>
          <w:strike w:val="0"/>
          <w:sz w:val="22"/>
          <w:u w:val="single"/>
        </w:rPr>
        <w:t xml:space="preserve"> the local </w:t>
      </w:r>
      <w:r>
        <w:rPr>
          <w:b w:val="0"/>
          <w:i w:val="0"/>
          <w:smallCaps w:val="0"/>
          <w:strike w:val="0"/>
          <w:sz w:val="22"/>
          <w:highlight w:val="cyan"/>
          <w:u w:val="single"/>
        </w:rPr>
        <w:t>supervision</w:t>
      </w:r>
      <w:r>
        <w:rPr>
          <w:b w:val="0"/>
          <w:i w:val="0"/>
          <w:smallCaps w:val="0"/>
          <w:strike w:val="0"/>
          <w:sz w:val="16"/>
          <w:u w:val="none"/>
        </w:rPr>
        <w:t xml:space="preserve">). </w:t>
      </w:r>
    </w:p>
    <w:p>
      <w:pPr>
        <w:spacing w:after="60"/>
      </w:pPr>
      <w:r>
        <w:rPr>
          <w:b w:val="0"/>
          <w:i w:val="0"/>
          <w:smallCaps w:val="0"/>
          <w:strike w:val="0"/>
          <w:sz w:val="16"/>
          <w:u w:val="none"/>
        </w:rPr>
        <w:t>&lt;&lt;FOOTNOTE 117 ENDS&gt;&gt;</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