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New </w:t>
      </w:r>
      <w:r>
        <w:rPr>
          <w:b/>
          <w:i w:val="0"/>
          <w:smallCaps w:val="0"/>
          <w:strike w:val="0"/>
          <w:sz w:val="26"/>
          <w:u w:val="single"/>
        </w:rPr>
        <w:t>cross-border</w:t>
      </w:r>
      <w:r>
        <w:rPr>
          <w:b/>
          <w:i w:val="0"/>
          <w:smallCaps w:val="0"/>
          <w:strike w:val="0"/>
          <w:sz w:val="26"/>
          <w:u w:val="none"/>
        </w:rPr>
        <w:t xml:space="preserve"> info sharing makes evasion </w:t>
      </w:r>
      <w:r>
        <w:rPr>
          <w:b/>
          <w:i w:val="0"/>
          <w:smallCaps w:val="0"/>
          <w:strike w:val="0"/>
          <w:sz w:val="26"/>
          <w:u w:val="single"/>
        </w:rPr>
        <w:t>impossible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Saez ’19 </w:t>
      </w:r>
      <w:r>
        <w:rPr>
          <w:b w:val="0"/>
          <w:i w:val="0"/>
          <w:smallCaps w:val="0"/>
          <w:strike w:val="0"/>
          <w:u w:val="none"/>
        </w:rPr>
        <w:t xml:space="preserve">[Emmanuel and Gabriel Zucman; September 5; Chancellor’s Professorship of Tax Policy and Public Finance and Directs the Center for Equitable Growth at the University of California, Berkeley; Assistant Professor of Economics at the University of California, Berkeley; Brookings Institution, “Progressive Wealth Taxation,”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modern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wealth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tax can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overcome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three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weaknesses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First,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offshore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tax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evasion can be fought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effectively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today than in the past,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thanks to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recent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breakthrough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cross-border info</w:t>
      </w:r>
      <w:r>
        <w:rPr>
          <w:b/>
          <w:i w:val="0"/>
          <w:smallCaps w:val="0"/>
          <w:strike w:val="0"/>
          <w:sz w:val="24"/>
          <w:u w:val="single"/>
        </w:rPr>
        <w:t xml:space="preserve">rmation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exchange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wealth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taxes could be applied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expatriates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(for at least some years),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mitigating concerns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tax competition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United States, moreover, has a citizenship-based tax system, making it much less vulnerable than other countries to mobility threats. Second, a comprehensive wealth tax base with a high exemption threshold and no preferential treatment for any asset classes can dramatically reduce avoidance possibilities. Third,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leveraging modern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information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is possible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tax authorities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collect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market value of most forms of household wealth and use this information to prepopulate wealth tax returns,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reducing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evasion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possibilities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minimum</w:t>
      </w:r>
      <w:r>
        <w:rPr>
          <w:b w:val="0"/>
          <w:i w:val="0"/>
          <w:smallCaps w:val="0"/>
          <w:strike w:val="0"/>
          <w:sz w:val="16"/>
          <w:u w:val="none"/>
        </w:rPr>
        <w:t>. We also discuss how missing market valuations could be obtained by creating markets. In brief, the specific way in which wealth was taxed in a number of European countries is not the only possible way, and it is possible to do much better today.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