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The CP </w:t>
      </w:r>
      <w:r>
        <w:rPr>
          <w:b/>
          <w:i w:val="0"/>
          <w:smallCaps w:val="0"/>
          <w:strike w:val="0"/>
          <w:color w:val="000000"/>
          <w:sz w:val="26"/>
          <w:u w:val="none"/>
        </w:rPr>
        <w:t xml:space="preserve">re-establishes Chevron. Deference </w:t>
      </w:r>
      <w:r>
        <w:rPr>
          <w:b/>
          <w:i w:val="0"/>
          <w:smallCaps w:val="0"/>
          <w:strike w:val="0"/>
          <w:color w:val="000000"/>
          <w:sz w:val="26"/>
          <w:u w:val="none"/>
        </w:rPr>
        <w:t xml:space="preserve">is a prerequisite to </w:t>
      </w:r>
      <w:r>
        <w:rPr>
          <w:b/>
          <w:i w:val="0"/>
          <w:smallCaps w:val="0"/>
          <w:strike w:val="0"/>
          <w:color w:val="000000"/>
          <w:sz w:val="26"/>
          <w:u w:val="none"/>
        </w:rPr>
        <w:t>aff</w:t>
      </w:r>
      <w:r>
        <w:rPr>
          <w:b/>
          <w:i w:val="0"/>
          <w:smallCaps w:val="0"/>
          <w:strike w:val="0"/>
          <w:color w:val="000000"/>
          <w:sz w:val="26"/>
          <w:u w:val="none"/>
        </w:rPr>
        <w:t xml:space="preserve"> solvency. </w:t>
      </w:r>
      <w:r>
        <w:rPr>
          <w:b/>
          <w:i w:val="0"/>
          <w:smallCaps w:val="0"/>
          <w:strike w:val="0"/>
          <w:color w:val="000000"/>
          <w:sz w:val="26"/>
          <w:u w:val="none"/>
        </w:rPr>
        <w:t xml:space="preserve"> </w:t>
      </w:r>
    </w:p>
    <w:p>
      <w:pPr>
        <w:spacing w:after="80"/>
      </w:pPr>
      <w:r>
        <w:rPr>
          <w:b w:val="0"/>
          <w:i w:val="0"/>
          <w:smallCaps w:val="0"/>
          <w:strike w:val="0"/>
          <w:color w:val="000000"/>
          <w:u w:val="none"/>
        </w:rPr>
        <w:t>Melissa</w:t>
      </w:r>
      <w:r>
        <w:rPr>
          <w:b/>
          <w:i w:val="0"/>
          <w:smallCaps w:val="0"/>
          <w:strike w:val="0"/>
          <w:color w:val="000000"/>
          <w:sz w:val="26"/>
          <w:u w:val="none"/>
        </w:rPr>
        <w:t xml:space="preserve"> Wasserman 13</w:t>
      </w:r>
      <w:r>
        <w:rPr>
          <w:b w:val="0"/>
          <w:i w:val="0"/>
          <w:smallCaps w:val="0"/>
          <w:strike w:val="0"/>
          <w:color w:val="000000"/>
          <w:u w:val="none"/>
        </w:rPr>
        <w:t>, Assistant Professor of Law and Richard W. and Marie L. Corman Scholar, University of Illinois College of Law. J.D., New York University School of Law, Ph.D., Princeton University. William. &amp; Mary, “The Changing Guard of Patent Law: Chevron Deference for the PTO</w:t>
      </w:r>
      <w:r>
        <w:rPr>
          <w:b w:val="0"/>
          <w:i w:val="0"/>
          <w:smallCaps w:val="0"/>
          <w:strike w:val="0"/>
          <w:color w:val="000000"/>
          <w:u w:val="none"/>
        </w:rPr>
        <w:t>”,  L.</w:t>
      </w:r>
      <w:r>
        <w:rPr>
          <w:b w:val="0"/>
          <w:i w:val="0"/>
          <w:smallCaps w:val="0"/>
          <w:strike w:val="0"/>
          <w:color w:val="000000"/>
          <w:u w:val="none"/>
        </w:rPr>
        <w:t xml:space="preserve"> Rev. 1959 2012-2013. </w:t>
      </w:r>
    </w:p>
    <w:p>
      <w:pPr>
        <w:spacing w:after="60"/>
      </w:pPr>
      <w:r>
        <w:rPr>
          <w:b w:val="0"/>
          <w:i w:val="0"/>
          <w:smallCaps w:val="0"/>
          <w:strike w:val="0"/>
          <w:color w:val="000000"/>
          <w:sz w:val="16"/>
          <w:u w:val="none"/>
        </w:rPr>
        <w:t xml:space="preserve">Yet, as criticism toward the patent system has grown, so too have the challenges to this unusual power dynamic.6 An increasing number of commentators believe this </w:t>
      </w:r>
      <w:r>
        <w:rPr>
          <w:b/>
          <w:i w:val="0"/>
          <w:smallCaps w:val="0"/>
          <w:strike w:val="0"/>
          <w:color w:val="000000"/>
          <w:highlight w:val="cyan"/>
          <w:u w:val="single"/>
        </w:rPr>
        <w:t>lopsided</w:t>
      </w:r>
      <w:r>
        <w:rPr>
          <w:b/>
          <w:i w:val="0"/>
          <w:smallCaps w:val="0"/>
          <w:strike w:val="0"/>
          <w:color w:val="000000"/>
          <w:u w:val="single"/>
        </w:rPr>
        <w:t xml:space="preserve"> institutional structure is the root cause of the patent system's systemic failures</w:t>
      </w:r>
      <w:r>
        <w:rPr>
          <w:b w:val="0"/>
          <w:i w:val="0"/>
          <w:smallCaps w:val="0"/>
          <w:strike w:val="0"/>
          <w:color w:val="000000"/>
          <w:sz w:val="16"/>
          <w:u w:val="none"/>
        </w:rPr>
        <w:t xml:space="preserve">.7 [footnote 7 text: 7. See, e.g., John M. Golden, Patentable Subject Matter and Institutional Choice, 89 TEX. L. REV. 1041, 1075 (2011) (noting that courts have struggled with patentable subject matter inquiries and that the state of jurisprudence could be improved by granting the PTO rulemaking authority over patentable subject matter); Joseph Scott Miller, Substance, Procedure, and the Divided Patent Power, ADMIN. L. REV., Winter 2011, at 31 (arguing that </w:t>
      </w:r>
      <w:r>
        <w:rPr>
          <w:b w:val="0"/>
          <w:i w:val="0"/>
          <w:smallCaps w:val="0"/>
          <w:strike w:val="0"/>
          <w:color w:val="000000"/>
          <w:u w:val="single"/>
        </w:rPr>
        <w:t>the courts should take a more deferential approach in determining whether a rule is substantive or procedural, the result of which would leave the PTO with ample discretion to manage the prosecution process)</w:t>
      </w:r>
      <w:r>
        <w:rPr>
          <w:b w:val="0"/>
          <w:i w:val="0"/>
          <w:smallCaps w:val="0"/>
          <w:strike w:val="0"/>
          <w:color w:val="000000"/>
          <w:sz w:val="16"/>
          <w:u w:val="none"/>
        </w:rPr>
        <w:t xml:space="preserve">; Arti K. Rai, Engaging Facts and Policy: A Multi-Institutional Approach to Patent System Reform, 103 COLUM. L. REV. 1035, 1040 (2003) ("The ostensibly discrete problems of our patent institutions stem from an initial mistake in institutional design."); Sarah Tran, Administrative Law, Patents, and Distorted Rules, 80 GEO. WASH. L. REV. 831, 839-40 (2012) (arguing that </w:t>
      </w:r>
      <w:r>
        <w:rPr>
          <w:b/>
          <w:i w:val="0"/>
          <w:smallCaps w:val="0"/>
          <w:strike w:val="0"/>
          <w:sz w:val="22"/>
          <w:highlight w:val="cyan"/>
          <w:u w:val="single"/>
        </w:rPr>
        <w:t>the Federal Circuit's overly narrow view</w:t>
      </w:r>
      <w:r>
        <w:rPr>
          <w:b w:val="0"/>
          <w:i w:val="0"/>
          <w:smallCaps w:val="0"/>
          <w:strike w:val="0"/>
          <w:color w:val="000000"/>
          <w:sz w:val="16"/>
          <w:u w:val="none"/>
        </w:rPr>
        <w:t xml:space="preserve"> </w:t>
      </w:r>
      <w:r>
        <w:rPr>
          <w:b w:val="0"/>
          <w:i w:val="0"/>
          <w:smallCaps w:val="0"/>
          <w:strike w:val="0"/>
          <w:color w:val="000000"/>
          <w:u w:val="single"/>
        </w:rPr>
        <w:t xml:space="preserve">of </w:t>
      </w:r>
      <w:r>
        <w:rPr>
          <w:b w:val="0"/>
          <w:i w:val="0"/>
          <w:smallCaps w:val="0"/>
          <w:strike w:val="0"/>
          <w:sz w:val="22"/>
          <w:u w:val="single"/>
        </w:rPr>
        <w:t>the</w:t>
      </w:r>
      <w:r>
        <w:rPr>
          <w:b w:val="0"/>
          <w:i w:val="0"/>
          <w:smallCaps w:val="0"/>
          <w:strike w:val="0"/>
          <w:color w:val="000000"/>
          <w:u w:val="single"/>
        </w:rPr>
        <w:t xml:space="preserve"> PTO'</w:t>
      </w:r>
      <w:r>
        <w:rPr>
          <w:b w:val="0"/>
          <w:i w:val="0"/>
          <w:smallCaps w:val="0"/>
          <w:strike w:val="0"/>
          <w:sz w:val="22"/>
          <w:u w:val="single"/>
        </w:rPr>
        <w:t xml:space="preserve">s rule-making </w:t>
      </w:r>
      <w:r>
        <w:rPr>
          <w:b w:val="0"/>
          <w:i w:val="0"/>
          <w:smallCaps w:val="0"/>
          <w:strike w:val="0"/>
          <w:color w:val="000000"/>
          <w:u w:val="single"/>
        </w:rPr>
        <w:t>powers "</w:t>
      </w:r>
      <w:r>
        <w:rPr>
          <w:b/>
          <w:i w:val="0"/>
          <w:smallCaps w:val="0"/>
          <w:strike w:val="0"/>
          <w:sz w:val="22"/>
          <w:u w:val="single"/>
        </w:rPr>
        <w:t xml:space="preserve">has </w:t>
      </w:r>
      <w:r>
        <w:rPr>
          <w:b/>
          <w:i w:val="0"/>
          <w:smallCaps w:val="0"/>
          <w:strike w:val="0"/>
          <w:sz w:val="22"/>
          <w:highlight w:val="cyan"/>
          <w:u w:val="single"/>
        </w:rPr>
        <w:t>impeded innovation</w:t>
      </w:r>
      <w:r>
        <w:rPr>
          <w:b w:val="0"/>
          <w:i w:val="0"/>
          <w:smallCaps w:val="0"/>
          <w:strike w:val="0"/>
          <w:color w:val="000000"/>
          <w:sz w:val="16"/>
          <w:u w:val="none"/>
        </w:rPr>
        <w:t xml:space="preserve"> </w:t>
      </w:r>
      <w:r>
        <w:rPr>
          <w:b w:val="0"/>
          <w:i w:val="0"/>
          <w:smallCaps w:val="0"/>
          <w:strike w:val="0"/>
          <w:color w:val="000000"/>
          <w:u w:val="single"/>
        </w:rPr>
        <w:t>and the express goal of Article I of the U.S. Constitution to promote 'the Progress of Science and useful Arts</w:t>
      </w:r>
      <w:r>
        <w:rPr>
          <w:b w:val="0"/>
          <w:i w:val="0"/>
          <w:smallCaps w:val="0"/>
          <w:strike w:val="0"/>
          <w:color w:val="000000"/>
          <w:sz w:val="16"/>
          <w:u w:val="none"/>
        </w:rPr>
        <w:t>"' (quoting U.S. CONST. art. I, § 8, cl. 8)); Wasserman, supra note 4, at 420-29 (arguing that the structural relationship between the PTO and the Federal Circuit has inflated the boundaries of patentability</w:t>
      </w:r>
      <w:r>
        <w:rPr>
          <w:b w:val="0"/>
          <w:i w:val="0"/>
          <w:smallCaps w:val="0"/>
          <w:strike w:val="0"/>
          <w:color w:val="000000"/>
          <w:sz w:val="16"/>
          <w:u w:val="none"/>
        </w:rPr>
        <w:t>)./</w:t>
      </w:r>
      <w:r>
        <w:rPr>
          <w:b w:val="0"/>
          <w:i w:val="0"/>
          <w:smallCaps w:val="0"/>
          <w:strike w:val="0"/>
          <w:color w:val="000000"/>
          <w:sz w:val="16"/>
          <w:u w:val="none"/>
        </w:rPr>
        <w:t xml:space="preserve">end footnote 7 text]. An even larger contingency of scholars support reforms that would shift greater power to the PTO.8 The cries for institutional reform culminated in 2011 when Congress enacted the historic </w:t>
      </w:r>
      <w:r>
        <w:rPr>
          <w:b w:val="0"/>
          <w:i w:val="0"/>
          <w:smallCaps w:val="0"/>
          <w:strike w:val="0"/>
          <w:color w:val="000000"/>
          <w:sz w:val="16"/>
          <w:u w:val="none"/>
        </w:rPr>
        <w:t>LeahySmith</w:t>
      </w:r>
      <w:r>
        <w:rPr>
          <w:b w:val="0"/>
          <w:i w:val="0"/>
          <w:smallCaps w:val="0"/>
          <w:strike w:val="0"/>
          <w:color w:val="000000"/>
          <w:sz w:val="16"/>
          <w:u w:val="none"/>
        </w:rPr>
        <w:t xml:space="preserve"> America Invents Act (AIA).9 </w:t>
      </w:r>
      <w:r>
        <w:rPr>
          <w:b w:val="0"/>
          <w:i w:val="0"/>
          <w:smallCaps w:val="0"/>
          <w:strike w:val="0"/>
          <w:color w:val="000000"/>
          <w:u w:val="single"/>
        </w:rPr>
        <w:t>The AIA provided the first major overhaul to the patent system in sixty years and undeniably increased the stature of the PTO by granting the Agency a host of new responsibilities,</w:t>
      </w:r>
      <w:r>
        <w:rPr>
          <w:b w:val="0"/>
          <w:i w:val="0"/>
          <w:smallCaps w:val="0"/>
          <w:strike w:val="0"/>
          <w:color w:val="000000"/>
          <w:sz w:val="16"/>
          <w:u w:val="none"/>
        </w:rPr>
        <w:t xml:space="preserve"> such as fee-setting authority" and the ability to conduct new adjudicatory proceedings in which patent rights may be obtained or challenged.1' This Article contends, however, that commentators have generally failed to recognize the extent to which </w:t>
      </w:r>
      <w:r>
        <w:rPr>
          <w:b w:val="0"/>
          <w:i w:val="0"/>
          <w:smallCaps w:val="0"/>
          <w:strike w:val="0"/>
          <w:color w:val="000000"/>
          <w:u w:val="single"/>
        </w:rPr>
        <w:t>the AIA alters the fundamental power dynamic between the Federal Circuit and the PTO.</w:t>
      </w:r>
      <w:r>
        <w:rPr>
          <w:b w:val="0"/>
          <w:i w:val="0"/>
          <w:smallCaps w:val="0"/>
          <w:strike w:val="0"/>
          <w:color w:val="000000"/>
          <w:sz w:val="16"/>
          <w:u w:val="none"/>
        </w:rPr>
        <w:t xml:space="preserve"> Although </w:t>
      </w:r>
      <w:r>
        <w:rPr>
          <w:b w:val="0"/>
          <w:i w:val="0"/>
          <w:smallCaps w:val="0"/>
          <w:strike w:val="0"/>
          <w:sz w:val="22"/>
          <w:highlight w:val="cyan"/>
          <w:u w:val="single"/>
        </w:rPr>
        <w:t>scholars</w:t>
      </w:r>
      <w:r>
        <w:rPr>
          <w:b w:val="0"/>
          <w:i w:val="0"/>
          <w:smallCaps w:val="0"/>
          <w:strike w:val="0"/>
          <w:color w:val="000000"/>
          <w:sz w:val="16"/>
          <w:u w:val="none"/>
        </w:rPr>
        <w:t xml:space="preserve"> acknowledge that the AIA bestows a glut of new powers upon the Agency,12 they </w:t>
      </w:r>
      <w:r>
        <w:rPr>
          <w:b w:val="0"/>
          <w:i w:val="0"/>
          <w:smallCaps w:val="0"/>
          <w:strike w:val="0"/>
          <w:sz w:val="22"/>
          <w:u w:val="single"/>
        </w:rPr>
        <w:t xml:space="preserve">have nearly uniformly </w:t>
      </w:r>
      <w:r>
        <w:rPr>
          <w:b w:val="0"/>
          <w:i w:val="0"/>
          <w:smallCaps w:val="0"/>
          <w:strike w:val="0"/>
          <w:sz w:val="22"/>
          <w:highlight w:val="cyan"/>
          <w:u w:val="single"/>
        </w:rPr>
        <w:t>conclude</w:t>
      </w:r>
      <w:r>
        <w:rPr>
          <w:b w:val="0"/>
          <w:i w:val="0"/>
          <w:smallCaps w:val="0"/>
          <w:strike w:val="0"/>
          <w:sz w:val="22"/>
          <w:u w:val="single"/>
        </w:rPr>
        <w:t>d that "</w:t>
      </w:r>
      <w:r>
        <w:rPr>
          <w:b w:val="0"/>
          <w:i w:val="0"/>
          <w:smallCaps w:val="0"/>
          <w:strike w:val="0"/>
          <w:sz w:val="22"/>
          <w:highlight w:val="cyan"/>
          <w:u w:val="single"/>
        </w:rPr>
        <w:t xml:space="preserve">Congress stopped short of allowing the PTO to </w:t>
      </w:r>
      <w:r>
        <w:rPr>
          <w:b/>
          <w:i w:val="0"/>
          <w:smallCaps w:val="0"/>
          <w:strike w:val="0"/>
          <w:sz w:val="22"/>
          <w:highlight w:val="cyan"/>
          <w:u w:val="single"/>
        </w:rPr>
        <w:t>interpret</w:t>
      </w:r>
      <w:r>
        <w:rPr>
          <w:b w:val="0"/>
          <w:i w:val="0"/>
          <w:smallCaps w:val="0"/>
          <w:strike w:val="0"/>
          <w:sz w:val="22"/>
          <w:u w:val="single"/>
        </w:rPr>
        <w:t xml:space="preserve"> the core </w:t>
      </w:r>
      <w:r>
        <w:rPr>
          <w:b w:val="0"/>
          <w:i w:val="0"/>
          <w:smallCaps w:val="0"/>
          <w:strike w:val="0"/>
          <w:sz w:val="22"/>
          <w:highlight w:val="cyan"/>
          <w:u w:val="single"/>
        </w:rPr>
        <w:t>provisions</w:t>
      </w:r>
      <w:r>
        <w:rPr>
          <w:b w:val="0"/>
          <w:i w:val="0"/>
          <w:smallCaps w:val="0"/>
          <w:strike w:val="0"/>
          <w:sz w:val="22"/>
          <w:u w:val="single"/>
        </w:rPr>
        <w:t xml:space="preserve"> of the</w:t>
      </w:r>
      <w:r>
        <w:rPr>
          <w:b w:val="0"/>
          <w:i w:val="0"/>
          <w:smallCaps w:val="0"/>
          <w:strike w:val="0"/>
          <w:color w:val="000000"/>
          <w:sz w:val="16"/>
          <w:u w:val="none"/>
        </w:rPr>
        <w:t xml:space="preserve"> Patent Act-those </w:t>
      </w:r>
      <w:r>
        <w:rPr>
          <w:b/>
          <w:i w:val="0"/>
          <w:smallCaps w:val="0"/>
          <w:strike w:val="0"/>
          <w:sz w:val="22"/>
          <w:highlight w:val="cyan"/>
          <w:u w:val="single"/>
        </w:rPr>
        <w:t>that affect the scope of what is patentable</w:t>
      </w:r>
      <w:r>
        <w:rPr>
          <w:b w:val="0"/>
          <w:i w:val="0"/>
          <w:smallCaps w:val="0"/>
          <w:strike w:val="0"/>
          <w:color w:val="000000"/>
          <w:sz w:val="16"/>
          <w:u w:val="none"/>
        </w:rPr>
        <w:t xml:space="preserve">."'" Though </w:t>
      </w:r>
      <w:r>
        <w:rPr>
          <w:b w:val="0"/>
          <w:i w:val="0"/>
          <w:smallCaps w:val="0"/>
          <w:strike w:val="0"/>
          <w:color w:val="000000"/>
          <w:u w:val="single"/>
        </w:rPr>
        <w:t>Stuart Benjamin and</w:t>
      </w:r>
      <w:r>
        <w:rPr>
          <w:b w:val="0"/>
          <w:i w:val="0"/>
          <w:smallCaps w:val="0"/>
          <w:strike w:val="0"/>
          <w:color w:val="000000"/>
          <w:sz w:val="16"/>
          <w:u w:val="none"/>
        </w:rPr>
        <w:t xml:space="preserve"> Arti </w:t>
      </w:r>
      <w:r>
        <w:rPr>
          <w:b w:val="0"/>
          <w:i w:val="0"/>
          <w:smallCaps w:val="0"/>
          <w:strike w:val="0"/>
          <w:color w:val="000000"/>
          <w:u w:val="single"/>
        </w:rPr>
        <w:t>Rai have observed that</w:t>
      </w:r>
      <w:r>
        <w:rPr>
          <w:b w:val="0"/>
          <w:i w:val="0"/>
          <w:smallCaps w:val="0"/>
          <w:strike w:val="0"/>
          <w:color w:val="000000"/>
          <w:sz w:val="16"/>
          <w:u w:val="none"/>
        </w:rPr>
        <w:t xml:space="preserve"> </w:t>
      </w:r>
      <w:r>
        <w:rPr>
          <w:b w:val="0"/>
          <w:i w:val="0"/>
          <w:smallCaps w:val="0"/>
          <w:strike w:val="0"/>
          <w:color w:val="000000"/>
          <w:u w:val="single"/>
        </w:rPr>
        <w:t>certain congressional bestowals of adjudicatory authority</w:t>
      </w:r>
      <w:r>
        <w:rPr>
          <w:b w:val="0"/>
          <w:i w:val="0"/>
          <w:smallCaps w:val="0"/>
          <w:strike w:val="0"/>
          <w:color w:val="000000"/>
          <w:sz w:val="16"/>
          <w:u w:val="none"/>
        </w:rPr>
        <w:t xml:space="preserve"> </w:t>
      </w:r>
      <w:r>
        <w:rPr>
          <w:b w:val="0"/>
          <w:i w:val="0"/>
          <w:smallCaps w:val="0"/>
          <w:strike w:val="0"/>
          <w:color w:val="000000"/>
          <w:u w:val="single"/>
        </w:rPr>
        <w:t>may</w:t>
      </w:r>
      <w:r>
        <w:rPr>
          <w:b w:val="0"/>
          <w:i w:val="0"/>
          <w:smallCaps w:val="0"/>
          <w:strike w:val="0"/>
          <w:color w:val="000000"/>
          <w:sz w:val="16"/>
          <w:u w:val="none"/>
        </w:rPr>
        <w:t xml:space="preserve"> </w:t>
      </w:r>
      <w:r>
        <w:rPr>
          <w:b w:val="0"/>
          <w:i w:val="0"/>
          <w:smallCaps w:val="0"/>
          <w:strike w:val="0"/>
          <w:color w:val="000000"/>
          <w:u w:val="single"/>
        </w:rPr>
        <w:t>entitle the PTO</w:t>
      </w:r>
      <w:r>
        <w:rPr>
          <w:b w:val="0"/>
          <w:i w:val="0"/>
          <w:smallCaps w:val="0"/>
          <w:strike w:val="0"/>
          <w:color w:val="000000"/>
          <w:u w:val="single"/>
        </w:rPr>
        <w:t>'s</w:t>
      </w:r>
      <w:r>
        <w:rPr>
          <w:b w:val="0"/>
          <w:i w:val="0"/>
          <w:smallCaps w:val="0"/>
          <w:strike w:val="0"/>
          <w:color w:val="000000"/>
          <w:sz w:val="16"/>
          <w:u w:val="none"/>
        </w:rPr>
        <w:t xml:space="preserve"> </w:t>
      </w:r>
      <w:r>
        <w:rPr>
          <w:b w:val="0"/>
          <w:i w:val="0"/>
          <w:smallCaps w:val="0"/>
          <w:strike w:val="0"/>
          <w:color w:val="000000"/>
          <w:u w:val="single"/>
        </w:rPr>
        <w:t>legal interpretations of the Patent Act</w:t>
      </w:r>
      <w:r>
        <w:rPr>
          <w:b w:val="0"/>
          <w:i w:val="0"/>
          <w:smallCaps w:val="0"/>
          <w:strike w:val="0"/>
          <w:color w:val="000000"/>
          <w:sz w:val="16"/>
          <w:u w:val="none"/>
        </w:rPr>
        <w:t xml:space="preserve"> </w:t>
      </w:r>
      <w:r>
        <w:rPr>
          <w:b w:val="0"/>
          <w:i w:val="0"/>
          <w:smallCaps w:val="0"/>
          <w:strike w:val="0"/>
          <w:color w:val="000000"/>
          <w:u w:val="single"/>
        </w:rPr>
        <w:t>to strong judicial deference</w:t>
      </w:r>
      <w:r>
        <w:rPr>
          <w:b w:val="0"/>
          <w:i w:val="0"/>
          <w:smallCaps w:val="0"/>
          <w:strike w:val="0"/>
          <w:color w:val="000000"/>
          <w:sz w:val="16"/>
          <w:u w:val="none"/>
        </w:rPr>
        <w:t xml:space="preserve">,14 [footnote 14 text: 14. See Stuart Minor Benjamin &amp; Arti K. Rai, Who's Afraid of the APA? What the Patent System Can Learn from Administrative Law, 95 GEO. L.J. 269, 327-28 (2007) ('The various </w:t>
      </w:r>
      <w:r>
        <w:rPr>
          <w:b w:val="0"/>
          <w:i w:val="0"/>
          <w:smallCaps w:val="0"/>
          <w:strike w:val="0"/>
          <w:color w:val="000000"/>
          <w:sz w:val="16"/>
          <w:u w:val="none"/>
        </w:rPr>
        <w:t>postgrant</w:t>
      </w:r>
      <w:r>
        <w:rPr>
          <w:b w:val="0"/>
          <w:i w:val="0"/>
          <w:smallCaps w:val="0"/>
          <w:strike w:val="0"/>
          <w:color w:val="000000"/>
          <w:sz w:val="16"/>
          <w:u w:val="none"/>
        </w:rPr>
        <w:t xml:space="preserve"> review proceedings that have been proposed would be trial-type procedures on the record that bear the hallmarks of formal adjudication-most notably, a proceeding before an administrative judge at which the parties present evidence and cross-examination, with the judge's decision based on the record. Such proceedings would have sufficient formality to satisfy </w:t>
      </w:r>
      <w:r>
        <w:rPr>
          <w:b w:val="0"/>
          <w:i w:val="0"/>
          <w:smallCaps w:val="0"/>
          <w:strike w:val="0"/>
          <w:color w:val="000000"/>
          <w:sz w:val="16"/>
          <w:u w:val="none"/>
        </w:rPr>
        <w:t>Meads</w:t>
      </w:r>
      <w:r>
        <w:rPr>
          <w:b w:val="0"/>
          <w:i w:val="0"/>
          <w:smallCaps w:val="0"/>
          <w:strike w:val="0"/>
          <w:color w:val="000000"/>
          <w:sz w:val="16"/>
          <w:u w:val="none"/>
        </w:rPr>
        <w:t xml:space="preserve"> test for application of Chevron deference. Thus, </w:t>
      </w:r>
      <w:r>
        <w:rPr>
          <w:b w:val="0"/>
          <w:i w:val="0"/>
          <w:smallCaps w:val="0"/>
          <w:strike w:val="0"/>
          <w:color w:val="000000"/>
          <w:u w:val="single"/>
        </w:rPr>
        <w:t>if Congress created these procedures and said nothing more, Chevron deference would seem to apply to them</w:t>
      </w:r>
      <w:r>
        <w:rPr>
          <w:b w:val="0"/>
          <w:i w:val="0"/>
          <w:smallCaps w:val="0"/>
          <w:strike w:val="0"/>
          <w:color w:val="000000"/>
          <w:sz w:val="16"/>
          <w:u w:val="none"/>
        </w:rPr>
        <w:t xml:space="preserve">." (footnotes omitted)); Arti K. Rai, Essay, Patent Validity Across the Executive Branch: Ex Ante Foundations for Policy Development, 61 DUKE L.J. 1237, 1280 (2012) ("In fact, the executive branch could also use the </w:t>
      </w:r>
      <w:r>
        <w:rPr>
          <w:b w:val="0"/>
          <w:i w:val="0"/>
          <w:smallCaps w:val="0"/>
          <w:strike w:val="0"/>
          <w:color w:val="000000"/>
          <w:sz w:val="16"/>
          <w:u w:val="none"/>
        </w:rPr>
        <w:t>postgrant</w:t>
      </w:r>
      <w:r>
        <w:rPr>
          <w:b w:val="0"/>
          <w:i w:val="0"/>
          <w:smallCaps w:val="0"/>
          <w:strike w:val="0"/>
          <w:color w:val="000000"/>
          <w:sz w:val="16"/>
          <w:u w:val="none"/>
        </w:rPr>
        <w:t xml:space="preserve">-review authority conferred upon the PTO by the AIA to go one step further. As a doctrinal matter, under current Supreme Court precedent interpreting the contexts in which Chevron applies, the government could ask for </w:t>
      </w:r>
      <w:r>
        <w:rPr>
          <w:b w:val="0"/>
          <w:i w:val="0"/>
          <w:smallCaps w:val="0"/>
          <w:strike w:val="0"/>
          <w:color w:val="000000"/>
          <w:sz w:val="16"/>
          <w:u w:val="none"/>
        </w:rPr>
        <w:t>Chevron</w:t>
      </w:r>
      <w:r>
        <w:rPr>
          <w:b w:val="0"/>
          <w:i w:val="0"/>
          <w:smallCaps w:val="0"/>
          <w:strike w:val="0"/>
          <w:color w:val="000000"/>
          <w:sz w:val="16"/>
          <w:u w:val="none"/>
        </w:rPr>
        <w:t xml:space="preserve"> deference toward decisions made in </w:t>
      </w:r>
      <w:r>
        <w:rPr>
          <w:b w:val="0"/>
          <w:i w:val="0"/>
          <w:smallCaps w:val="0"/>
          <w:strike w:val="0"/>
          <w:color w:val="000000"/>
          <w:sz w:val="16"/>
          <w:u w:val="none"/>
        </w:rPr>
        <w:t>postgrant</w:t>
      </w:r>
      <w:r>
        <w:rPr>
          <w:b w:val="0"/>
          <w:i w:val="0"/>
          <w:smallCaps w:val="0"/>
          <w:strike w:val="0"/>
          <w:color w:val="000000"/>
          <w:sz w:val="16"/>
          <w:u w:val="none"/>
        </w:rPr>
        <w:t xml:space="preserve"> review proceedings."). However, neither of these articles analyzed the language of the AIA, applied or acknowledged the three-way circuit split on when formal adjudications are triggered, or performed any analysis of when a grant of formal adjudicatory authority carries the ability to speak with the force of law./end footnote text] this Article provides the first </w:t>
      </w:r>
      <w:r>
        <w:rPr>
          <w:b w:val="0"/>
          <w:i w:val="0"/>
          <w:smallCaps w:val="0"/>
          <w:strike w:val="0"/>
          <w:color w:val="000000"/>
          <w:sz w:val="16"/>
          <w:u w:val="none"/>
        </w:rPr>
        <w:t>indepth</w:t>
      </w:r>
      <w:r>
        <w:rPr>
          <w:b w:val="0"/>
          <w:i w:val="0"/>
          <w:smallCaps w:val="0"/>
          <w:strike w:val="0"/>
          <w:color w:val="000000"/>
          <w:sz w:val="16"/>
          <w:u w:val="none"/>
        </w:rPr>
        <w:t xml:space="preserve"> exploration of whether the actual powers granted by the AIA would result in the PTO becoming the primary interpreter of the core patentability requirements. This Article </w:t>
      </w:r>
      <w:r>
        <w:rPr>
          <w:b w:val="0"/>
          <w:i w:val="0"/>
          <w:smallCaps w:val="0"/>
          <w:strike w:val="0"/>
          <w:sz w:val="16"/>
          <w:u w:val="none"/>
        </w:rPr>
        <w:t>concludes that the AIA rejects over two hundred years of court dominance in patent policy by anointing the PTO as the chief expositor of substantive patent law standards. In general</w:t>
      </w:r>
      <w:r>
        <w:rPr>
          <w:b w:val="0"/>
          <w:i w:val="0"/>
          <w:smallCaps w:val="0"/>
          <w:strike w:val="0"/>
          <w:color w:val="000000"/>
          <w:sz w:val="16"/>
          <w:u w:val="none"/>
        </w:rPr>
        <w:t xml:space="preserve">, the patent system has historically suffered from a lack of serious engagement with administrative law,15 even though </w:t>
      </w:r>
      <w:r>
        <w:rPr>
          <w:b w:val="0"/>
          <w:i w:val="0"/>
          <w:smallCaps w:val="0"/>
          <w:strike w:val="0"/>
          <w:color w:val="000000"/>
          <w:u w:val="single"/>
        </w:rPr>
        <w:t>Supreme Court</w:t>
      </w:r>
      <w:r>
        <w:rPr>
          <w:b w:val="0"/>
          <w:i w:val="0"/>
          <w:smallCaps w:val="0"/>
          <w:strike w:val="0"/>
          <w:color w:val="000000"/>
          <w:sz w:val="16"/>
          <w:u w:val="none"/>
        </w:rPr>
        <w:t xml:space="preserve"> </w:t>
      </w:r>
      <w:r>
        <w:rPr>
          <w:b w:val="0"/>
          <w:i w:val="0"/>
          <w:smallCaps w:val="0"/>
          <w:strike w:val="0"/>
          <w:color w:val="000000"/>
          <w:u w:val="single"/>
        </w:rPr>
        <w:t>intervention in 1999</w:t>
      </w:r>
      <w:r>
        <w:rPr>
          <w:b w:val="0"/>
          <w:i w:val="0"/>
          <w:smallCaps w:val="0"/>
          <w:strike w:val="0"/>
          <w:color w:val="000000"/>
          <w:sz w:val="16"/>
          <w:u w:val="none"/>
        </w:rPr>
        <w:t xml:space="preserve"> </w:t>
      </w:r>
      <w:r>
        <w:rPr>
          <w:b w:val="0"/>
          <w:i w:val="0"/>
          <w:smallCaps w:val="0"/>
          <w:strike w:val="0"/>
          <w:color w:val="000000"/>
          <w:u w:val="single"/>
        </w:rPr>
        <w:t>made clear</w:t>
      </w:r>
      <w:r>
        <w:rPr>
          <w:b w:val="0"/>
          <w:i w:val="0"/>
          <w:smallCaps w:val="0"/>
          <w:strike w:val="0"/>
          <w:color w:val="000000"/>
          <w:sz w:val="16"/>
          <w:u w:val="none"/>
        </w:rPr>
        <w:t xml:space="preserve"> </w:t>
      </w:r>
      <w:r>
        <w:rPr>
          <w:b w:val="0"/>
          <w:i w:val="0"/>
          <w:smallCaps w:val="0"/>
          <w:strike w:val="0"/>
          <w:color w:val="000000"/>
          <w:u w:val="single"/>
        </w:rPr>
        <w:t>that standard</w:t>
      </w:r>
      <w:r>
        <w:rPr>
          <w:b w:val="0"/>
          <w:i w:val="0"/>
          <w:smallCaps w:val="0"/>
          <w:strike w:val="0"/>
          <w:color w:val="000000"/>
          <w:sz w:val="16"/>
          <w:u w:val="none"/>
        </w:rPr>
        <w:t xml:space="preserve"> </w:t>
      </w:r>
      <w:r>
        <w:rPr>
          <w:b w:val="0"/>
          <w:i w:val="0"/>
          <w:smallCaps w:val="0"/>
          <w:strike w:val="0"/>
          <w:color w:val="000000"/>
          <w:u w:val="single"/>
        </w:rPr>
        <w:t>admin</w:t>
      </w:r>
      <w:r>
        <w:rPr>
          <w:b w:val="0"/>
          <w:i w:val="0"/>
          <w:smallCaps w:val="0"/>
          <w:strike w:val="0"/>
          <w:color w:val="000000"/>
          <w:u w:val="single"/>
        </w:rPr>
        <w:t>istrative</w:t>
      </w:r>
      <w:r>
        <w:rPr>
          <w:b w:val="0"/>
          <w:i w:val="0"/>
          <w:smallCaps w:val="0"/>
          <w:strike w:val="0"/>
          <w:color w:val="000000"/>
          <w:sz w:val="16"/>
          <w:u w:val="none"/>
        </w:rPr>
        <w:t xml:space="preserve"> </w:t>
      </w:r>
      <w:r>
        <w:rPr>
          <w:b w:val="0"/>
          <w:i w:val="0"/>
          <w:smallCaps w:val="0"/>
          <w:strike w:val="0"/>
          <w:color w:val="000000"/>
          <w:u w:val="single"/>
        </w:rPr>
        <w:t>law norms</w:t>
      </w:r>
      <w:r>
        <w:rPr>
          <w:b w:val="0"/>
          <w:i w:val="0"/>
          <w:smallCaps w:val="0"/>
          <w:strike w:val="0"/>
          <w:color w:val="000000"/>
          <w:u w:val="single"/>
        </w:rPr>
        <w:t>-including the Administrative Procedure Act-</w:t>
      </w:r>
      <w:r>
        <w:rPr>
          <w:b w:val="0"/>
          <w:i w:val="0"/>
          <w:smallCaps w:val="0"/>
          <w:strike w:val="0"/>
          <w:color w:val="000000"/>
          <w:highlight w:val="cyan"/>
          <w:u w:val="single"/>
        </w:rPr>
        <w:t>apply to the PTO</w:t>
      </w:r>
      <w:r>
        <w:rPr>
          <w:b w:val="0"/>
          <w:i w:val="0"/>
          <w:smallCaps w:val="0"/>
          <w:strike w:val="0"/>
          <w:color w:val="000000"/>
          <w:u w:val="single"/>
        </w:rPr>
        <w:t>.</w:t>
      </w:r>
      <w:r>
        <w:rPr>
          <w:b w:val="0"/>
          <w:i w:val="0"/>
          <w:smallCaps w:val="0"/>
          <w:strike w:val="0"/>
          <w:color w:val="000000"/>
          <w:sz w:val="16"/>
          <w:u w:val="none"/>
        </w:rPr>
        <w:t xml:space="preserve"> 16 </w:t>
      </w:r>
      <w:r>
        <w:rPr>
          <w:b w:val="0"/>
          <w:i w:val="0"/>
          <w:smallCaps w:val="0"/>
          <w:strike w:val="0"/>
          <w:color w:val="000000"/>
          <w:u w:val="single"/>
        </w:rPr>
        <w:t>Applying administrative law principles to the AIA provides</w:t>
      </w:r>
      <w:r>
        <w:rPr>
          <w:b w:val="0"/>
          <w:i w:val="0"/>
          <w:smallCaps w:val="0"/>
          <w:strike w:val="0"/>
          <w:color w:val="000000"/>
          <w:sz w:val="16"/>
          <w:u w:val="none"/>
        </w:rPr>
        <w:t xml:space="preserve"> </w:t>
      </w:r>
      <w:r>
        <w:rPr>
          <w:b w:val="0"/>
          <w:i w:val="0"/>
          <w:smallCaps w:val="0"/>
          <w:strike w:val="0"/>
          <w:sz w:val="22"/>
          <w:u w:val="single"/>
        </w:rPr>
        <w:t>that</w:t>
      </w:r>
      <w:r>
        <w:rPr>
          <w:b w:val="0"/>
          <w:i w:val="0"/>
          <w:smallCaps w:val="0"/>
          <w:strike w:val="0"/>
          <w:color w:val="000000"/>
          <w:sz w:val="16"/>
          <w:u w:val="none"/>
        </w:rPr>
        <w:t xml:space="preserve"> </w:t>
      </w:r>
      <w:r>
        <w:rPr>
          <w:b w:val="0"/>
          <w:i w:val="0"/>
          <w:smallCaps w:val="0"/>
          <w:strike w:val="0"/>
          <w:color w:val="000000"/>
          <w:u w:val="single"/>
        </w:rPr>
        <w:t>the PTO's legal interpretations of the Patent Act,</w:t>
      </w:r>
      <w:r>
        <w:rPr>
          <w:b w:val="0"/>
          <w:i w:val="0"/>
          <w:smallCaps w:val="0"/>
          <w:strike w:val="0"/>
          <w:color w:val="000000"/>
          <w:sz w:val="16"/>
          <w:u w:val="none"/>
        </w:rPr>
        <w:t xml:space="preserve"> as announced by </w:t>
      </w:r>
      <w:r>
        <w:rPr>
          <w:b w:val="0"/>
          <w:i w:val="0"/>
          <w:smallCaps w:val="0"/>
          <w:strike w:val="0"/>
          <w:sz w:val="22"/>
          <w:highlight w:val="cyan"/>
          <w:u w:val="single"/>
        </w:rPr>
        <w:t>its</w:t>
      </w:r>
      <w:r>
        <w:rPr>
          <w:b w:val="0"/>
          <w:i w:val="0"/>
          <w:smallCaps w:val="0"/>
          <w:strike w:val="0"/>
          <w:color w:val="000000"/>
          <w:sz w:val="16"/>
          <w:u w:val="none"/>
        </w:rPr>
        <w:t xml:space="preserve"> new adjudicatory proceedings, </w:t>
      </w:r>
      <w:r>
        <w:rPr>
          <w:b w:val="0"/>
          <w:i w:val="0"/>
          <w:smallCaps w:val="0"/>
          <w:strike w:val="0"/>
          <w:u w:val="none"/>
        </w:rPr>
        <w:t>are</w:t>
      </w:r>
      <w:r>
        <w:rPr>
          <w:b/>
          <w:i w:val="0"/>
          <w:smallCaps w:val="0"/>
          <w:strike w:val="0"/>
          <w:color w:val="000000"/>
          <w:u w:val="single"/>
        </w:rPr>
        <w:t xml:space="preserve"> entitled to </w:t>
      </w:r>
      <w:r>
        <w:rPr>
          <w:b w:val="0"/>
          <w:i w:val="0"/>
          <w:smallCaps w:val="0"/>
          <w:strike w:val="0"/>
          <w:u w:val="none"/>
        </w:rPr>
        <w:t>the highly deferential standard of</w:t>
      </w:r>
      <w:r>
        <w:rPr>
          <w:b w:val="0"/>
          <w:i w:val="0"/>
          <w:smallCaps w:val="0"/>
          <w:strike w:val="0"/>
          <w:color w:val="000000"/>
          <w:sz w:val="16"/>
          <w:u w:val="none"/>
        </w:rPr>
        <w:t xml:space="preserve"> </w:t>
      </w:r>
      <w:r>
        <w:rPr>
          <w:b/>
          <w:i w:val="0"/>
          <w:smallCaps w:val="0"/>
          <w:strike w:val="0"/>
          <w:color w:val="000000"/>
          <w:u w:val="single"/>
        </w:rPr>
        <w:t>review articulated in</w:t>
      </w:r>
      <w:r>
        <w:rPr>
          <w:b w:val="0"/>
          <w:i w:val="0"/>
          <w:smallCaps w:val="0"/>
          <w:strike w:val="0"/>
          <w:color w:val="000000"/>
          <w:sz w:val="16"/>
          <w:u w:val="none"/>
        </w:rPr>
        <w:t xml:space="preserve"> </w:t>
      </w:r>
      <w:r>
        <w:rPr>
          <w:b/>
          <w:i w:val="0"/>
          <w:smallCaps w:val="0"/>
          <w:strike w:val="0"/>
          <w:color w:val="000000"/>
          <w:u w:val="single"/>
        </w:rPr>
        <w:t>Chevron</w:t>
      </w:r>
      <w:r>
        <w:rPr>
          <w:b w:val="0"/>
          <w:i w:val="0"/>
          <w:smallCaps w:val="0"/>
          <w:strike w:val="0"/>
          <w:color w:val="000000"/>
          <w:sz w:val="16"/>
          <w:u w:val="none"/>
        </w:rPr>
        <w:t xml:space="preserve"> U.S.A. Inc. v. Natural Resources Defense Council, Inc. 7 As this Article argues</w:t>
      </w:r>
      <w:r>
        <w:rPr>
          <w:b/>
          <w:i w:val="0"/>
          <w:smallCaps w:val="0"/>
          <w:strike w:val="0"/>
          <w:color w:val="000000"/>
          <w:u w:val="single"/>
        </w:rPr>
        <w:t>,</w:t>
      </w:r>
      <w:r>
        <w:rPr>
          <w:b w:val="0"/>
          <w:i w:val="0"/>
          <w:smallCaps w:val="0"/>
          <w:strike w:val="0"/>
          <w:color w:val="000000"/>
          <w:sz w:val="16"/>
          <w:u w:val="none"/>
        </w:rPr>
        <w:t xml:space="preserve"> </w:t>
      </w:r>
      <w:r>
        <w:rPr>
          <w:b/>
          <w:i w:val="0"/>
          <w:smallCaps w:val="0"/>
          <w:strike w:val="0"/>
          <w:sz w:val="22"/>
          <w:highlight w:val="cyan"/>
          <w:u w:val="single"/>
        </w:rPr>
        <w:t>this</w:t>
      </w:r>
      <w:r>
        <w:rPr>
          <w:b w:val="0"/>
          <w:i w:val="0"/>
          <w:smallCaps w:val="0"/>
          <w:strike w:val="0"/>
          <w:color w:val="000000"/>
          <w:sz w:val="16"/>
          <w:u w:val="none"/>
        </w:rPr>
        <w:t xml:space="preserve"> </w:t>
      </w:r>
      <w:r>
        <w:rPr>
          <w:b/>
          <w:i w:val="0"/>
          <w:smallCaps w:val="0"/>
          <w:strike w:val="0"/>
          <w:sz w:val="22"/>
          <w:u w:val="single"/>
        </w:rPr>
        <w:t>deference</w:t>
      </w:r>
      <w:r>
        <w:rPr>
          <w:b w:val="0"/>
          <w:i w:val="0"/>
          <w:smallCaps w:val="0"/>
          <w:strike w:val="0"/>
          <w:color w:val="000000"/>
          <w:sz w:val="16"/>
          <w:u w:val="none"/>
        </w:rPr>
        <w:t xml:space="preserve"> </w:t>
      </w:r>
      <w:r>
        <w:rPr>
          <w:b/>
          <w:i w:val="0"/>
          <w:smallCaps w:val="0"/>
          <w:strike w:val="0"/>
          <w:sz w:val="22"/>
          <w:highlight w:val="cyan"/>
          <w:u w:val="single"/>
        </w:rPr>
        <w:t>is</w:t>
      </w:r>
      <w:r>
        <w:rPr>
          <w:b w:val="0"/>
          <w:i w:val="0"/>
          <w:smallCaps w:val="0"/>
          <w:strike w:val="0"/>
          <w:color w:val="000000"/>
          <w:sz w:val="16"/>
          <w:u w:val="none"/>
        </w:rPr>
        <w:t xml:space="preserve"> </w:t>
      </w:r>
      <w:r>
        <w:rPr>
          <w:b/>
          <w:i w:val="0"/>
          <w:smallCaps w:val="0"/>
          <w:strike w:val="0"/>
          <w:color w:val="000000"/>
          <w:u w:val="single"/>
        </w:rPr>
        <w:t>a</w:t>
      </w:r>
      <w:r>
        <w:rPr>
          <w:b w:val="0"/>
          <w:i w:val="0"/>
          <w:smallCaps w:val="0"/>
          <w:strike w:val="0"/>
          <w:color w:val="000000"/>
          <w:sz w:val="16"/>
          <w:u w:val="none"/>
        </w:rPr>
        <w:t xml:space="preserve"> </w:t>
      </w:r>
      <w:r>
        <w:rPr>
          <w:b w:val="0"/>
          <w:i w:val="0"/>
          <w:smallCaps w:val="0"/>
          <w:strike w:val="0"/>
          <w:u w:val="none"/>
        </w:rPr>
        <w:t>normatively</w:t>
      </w:r>
      <w:r>
        <w:rPr>
          <w:b/>
          <w:i w:val="0"/>
          <w:smallCaps w:val="0"/>
          <w:strike w:val="0"/>
          <w:color w:val="000000"/>
          <w:u w:val="single"/>
        </w:rPr>
        <w:t xml:space="preserve"> </w:t>
      </w:r>
      <w:r>
        <w:rPr>
          <w:b/>
          <w:i w:val="0"/>
          <w:smallCaps w:val="0"/>
          <w:strike w:val="0"/>
          <w:sz w:val="22"/>
          <w:highlight w:val="cyan"/>
          <w:u w:val="single"/>
        </w:rPr>
        <w:t>desirable</w:t>
      </w:r>
      <w:r>
        <w:rPr>
          <w:b w:val="0"/>
          <w:i w:val="0"/>
          <w:smallCaps w:val="0"/>
          <w:strike w:val="0"/>
          <w:color w:val="000000"/>
          <w:sz w:val="16"/>
          <w:u w:val="none"/>
        </w:rPr>
        <w:t xml:space="preserve"> </w:t>
      </w:r>
      <w:r>
        <w:rPr>
          <w:b/>
          <w:i w:val="0"/>
          <w:smallCaps w:val="0"/>
          <w:strike w:val="0"/>
          <w:color w:val="000000"/>
          <w:u w:val="single"/>
        </w:rPr>
        <w:t>outcome</w:t>
      </w:r>
      <w:r>
        <w:rPr>
          <w:b w:val="0"/>
          <w:i w:val="0"/>
          <w:smallCaps w:val="0"/>
          <w:strike w:val="0"/>
          <w:color w:val="000000"/>
          <w:sz w:val="16"/>
          <w:u w:val="none"/>
        </w:rPr>
        <w:t xml:space="preserve">.18 </w:t>
      </w:r>
      <w:r>
        <w:rPr>
          <w:b w:val="0"/>
          <w:i w:val="0"/>
          <w:smallCaps w:val="0"/>
          <w:strike w:val="0"/>
          <w:color w:val="000000"/>
          <w:u w:val="single"/>
        </w:rPr>
        <w:t xml:space="preserve">Making the PTO the </w:t>
      </w:r>
      <w:r>
        <w:rPr>
          <w:b/>
          <w:i w:val="0"/>
          <w:smallCaps w:val="0"/>
          <w:strike w:val="0"/>
          <w:sz w:val="22"/>
          <w:highlight w:val="cyan"/>
          <w:u w:val="single"/>
        </w:rPr>
        <w:t>primary interpreter</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i w:val="0"/>
          <w:smallCaps w:val="0"/>
          <w:strike w:val="0"/>
          <w:sz w:val="22"/>
          <w:highlight w:val="cyan"/>
          <w:u w:val="single"/>
        </w:rPr>
        <w:t>core patent</w:t>
      </w:r>
      <w:r>
        <w:rPr>
          <w:b w:val="0"/>
          <w:i w:val="0"/>
          <w:smallCaps w:val="0"/>
          <w:strike w:val="0"/>
          <w:color w:val="000000"/>
          <w:u w:val="single"/>
        </w:rPr>
        <w:t>ability</w:t>
      </w:r>
      <w:r>
        <w:rPr>
          <w:b w:val="0"/>
          <w:i w:val="0"/>
          <w:smallCaps w:val="0"/>
          <w:strike w:val="0"/>
          <w:color w:val="000000"/>
          <w:sz w:val="16"/>
          <w:u w:val="none"/>
        </w:rPr>
        <w:t xml:space="preserve"> </w:t>
      </w:r>
      <w:r>
        <w:rPr>
          <w:b/>
          <w:i w:val="0"/>
          <w:smallCaps w:val="0"/>
          <w:strike w:val="0"/>
          <w:sz w:val="22"/>
          <w:highlight w:val="cyan"/>
          <w:u w:val="single"/>
        </w:rPr>
        <w:t>standards</w:t>
      </w:r>
      <w:r>
        <w:rPr>
          <w:b w:val="0"/>
          <w:i w:val="0"/>
          <w:smallCaps w:val="0"/>
          <w:strike w:val="0"/>
          <w:color w:val="000000"/>
          <w:u w:val="single"/>
        </w:rPr>
        <w:t xml:space="preserve"> ushers the</w:t>
      </w:r>
      <w:r>
        <w:rPr>
          <w:b w:val="0"/>
          <w:i w:val="0"/>
          <w:smallCaps w:val="0"/>
          <w:strike w:val="0"/>
          <w:color w:val="000000"/>
          <w:sz w:val="16"/>
          <w:u w:val="none"/>
        </w:rPr>
        <w:t xml:space="preserve"> </w:t>
      </w:r>
      <w:r>
        <w:rPr>
          <w:b w:val="0"/>
          <w:i w:val="0"/>
          <w:smallCaps w:val="0"/>
          <w:strike w:val="0"/>
          <w:color w:val="000000"/>
          <w:u w:val="single"/>
        </w:rPr>
        <w:t>patent</w:t>
      </w:r>
      <w:r>
        <w:rPr>
          <w:b w:val="0"/>
          <w:i w:val="0"/>
          <w:smallCaps w:val="0"/>
          <w:strike w:val="0"/>
          <w:color w:val="000000"/>
          <w:sz w:val="16"/>
          <w:u w:val="none"/>
        </w:rPr>
        <w:t xml:space="preserve"> </w:t>
      </w:r>
      <w:r>
        <w:rPr>
          <w:b w:val="0"/>
          <w:i w:val="0"/>
          <w:smallCaps w:val="0"/>
          <w:strike w:val="0"/>
          <w:color w:val="000000"/>
          <w:u w:val="single"/>
        </w:rPr>
        <w:t>system into the modern</w:t>
      </w:r>
      <w:r>
        <w:rPr>
          <w:b w:val="0"/>
          <w:i w:val="0"/>
          <w:smallCaps w:val="0"/>
          <w:strike w:val="0"/>
          <w:color w:val="000000"/>
          <w:sz w:val="16"/>
          <w:u w:val="none"/>
        </w:rPr>
        <w:t xml:space="preserve"> </w:t>
      </w:r>
      <w:r>
        <w:rPr>
          <w:b w:val="0"/>
          <w:i w:val="0"/>
          <w:smallCaps w:val="0"/>
          <w:strike w:val="0"/>
          <w:color w:val="000000"/>
          <w:u w:val="single"/>
        </w:rPr>
        <w:t>administrative</w:t>
      </w:r>
      <w:r>
        <w:rPr>
          <w:b w:val="0"/>
          <w:i w:val="0"/>
          <w:smallCaps w:val="0"/>
          <w:strike w:val="0"/>
          <w:color w:val="000000"/>
          <w:sz w:val="16"/>
          <w:u w:val="none"/>
        </w:rPr>
        <w:t xml:space="preserve"> </w:t>
      </w:r>
      <w:r>
        <w:rPr>
          <w:b w:val="0"/>
          <w:i w:val="0"/>
          <w:smallCaps w:val="0"/>
          <w:strike w:val="0"/>
          <w:color w:val="000000"/>
          <w:u w:val="single"/>
        </w:rPr>
        <w:t>era</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sz w:val="22"/>
          <w:highlight w:val="cyan"/>
          <w:u w:val="single"/>
        </w:rPr>
        <w:t>which has long recognized the deficiencies</w:t>
      </w:r>
      <w:r>
        <w:rPr>
          <w:b w:val="0"/>
          <w:i w:val="0"/>
          <w:smallCaps w:val="0"/>
          <w:strike w:val="0"/>
          <w:color w:val="000000"/>
          <w:sz w:val="16"/>
          <w:u w:val="none"/>
        </w:rPr>
        <w:t xml:space="preserve"> </w:t>
      </w:r>
      <w:r>
        <w:rPr>
          <w:b/>
          <w:i w:val="0"/>
          <w:smallCaps w:val="0"/>
          <w:strike w:val="0"/>
          <w:color w:val="000000"/>
          <w:u w:val="single"/>
        </w:rPr>
        <w:t>associated</w:t>
      </w:r>
      <w:r>
        <w:rPr>
          <w:b w:val="0"/>
          <w:i w:val="0"/>
          <w:smallCaps w:val="0"/>
          <w:strike w:val="0"/>
          <w:color w:val="000000"/>
          <w:sz w:val="16"/>
          <w:u w:val="none"/>
        </w:rPr>
        <w:t xml:space="preserve"> </w:t>
      </w:r>
      <w:r>
        <w:rPr>
          <w:b/>
          <w:i w:val="0"/>
          <w:smallCaps w:val="0"/>
          <w:strike w:val="0"/>
          <w:sz w:val="22"/>
          <w:highlight w:val="cyan"/>
          <w:u w:val="single"/>
        </w:rPr>
        <w:t>with judge-driven policy</w:t>
      </w:r>
      <w:r>
        <w:rPr>
          <w:b/>
          <w:i w:val="0"/>
          <w:smallCaps w:val="0"/>
          <w:strike w:val="0"/>
          <w:color w:val="000000"/>
          <w:u w:val="single"/>
        </w:rPr>
        <w:t>.</w:t>
      </w:r>
      <w:r>
        <w:rPr>
          <w:b w:val="0"/>
          <w:i w:val="0"/>
          <w:smallCaps w:val="0"/>
          <w:strike w:val="0"/>
          <w:color w:val="000000"/>
          <w:sz w:val="16"/>
          <w:u w:val="none"/>
        </w:rPr>
        <w:t xml:space="preserve"> 9 </w:t>
      </w:r>
      <w:r>
        <w:rPr>
          <w:b w:val="0"/>
          <w:i w:val="0"/>
          <w:smallCaps w:val="0"/>
          <w:strike w:val="0"/>
          <w:u w:val="none"/>
        </w:rPr>
        <w:t xml:space="preserve">This provides the institutional foundation for </w:t>
      </w:r>
      <w:r>
        <w:rPr>
          <w:b w:val="0"/>
          <w:i w:val="0"/>
          <w:smallCaps w:val="0"/>
          <w:strike w:val="0"/>
          <w:sz w:val="22"/>
          <w:highlight w:val="cyan"/>
          <w:u w:val="single"/>
        </w:rPr>
        <w:t>infusing economic</w:t>
      </w:r>
      <w:r>
        <w:rPr>
          <w:b w:val="0"/>
          <w:i w:val="0"/>
          <w:smallCaps w:val="0"/>
          <w:strike w:val="0"/>
          <w:color w:val="000000"/>
          <w:u w:val="single"/>
        </w:rPr>
        <w:t xml:space="preserve"> policy into the patent system</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 xml:space="preserve">enabling the </w:t>
      </w:r>
      <w:r>
        <w:rPr>
          <w:b/>
          <w:i w:val="0"/>
          <w:smallCaps w:val="0"/>
          <w:strike w:val="0"/>
          <w:sz w:val="22"/>
          <w:highlight w:val="cyan"/>
          <w:u w:val="single"/>
        </w:rPr>
        <w:t>tailoring</w:t>
      </w:r>
      <w:r>
        <w:rPr>
          <w:b w:val="0"/>
          <w:i w:val="0"/>
          <w:smallCaps w:val="0"/>
          <w:strike w:val="0"/>
          <w:color w:val="000000"/>
          <w:u w:val="single"/>
        </w:rPr>
        <w:t xml:space="preserve"> of patent</w:t>
      </w:r>
      <w:r>
        <w:rPr>
          <w:b w:val="0"/>
          <w:i w:val="0"/>
          <w:smallCaps w:val="0"/>
          <w:strike w:val="0"/>
          <w:color w:val="000000"/>
          <w:u w:val="single"/>
        </w:rPr>
        <w:t>ability</w:t>
      </w:r>
      <w:r>
        <w:rPr>
          <w:b w:val="0"/>
          <w:i w:val="0"/>
          <w:smallCaps w:val="0"/>
          <w:strike w:val="0"/>
          <w:color w:val="000000"/>
          <w:sz w:val="16"/>
          <w:u w:val="none"/>
        </w:rPr>
        <w:t xml:space="preserve"> </w:t>
      </w:r>
      <w:r>
        <w:rPr>
          <w:b/>
          <w:i w:val="0"/>
          <w:smallCaps w:val="0"/>
          <w:strike w:val="0"/>
          <w:sz w:val="22"/>
          <w:highlight w:val="cyan"/>
          <w:u w:val="single"/>
        </w:rPr>
        <w:t>standards</w:t>
      </w:r>
      <w:r>
        <w:rPr>
          <w:b w:val="0"/>
          <w:i w:val="0"/>
          <w:smallCaps w:val="0"/>
          <w:strike w:val="0"/>
          <w:color w:val="000000"/>
          <w:u w:val="single"/>
        </w:rPr>
        <w:t xml:space="preserve"> to advance</w:t>
      </w:r>
      <w:r>
        <w:rPr>
          <w:b w:val="0"/>
          <w:i w:val="0"/>
          <w:smallCaps w:val="0"/>
          <w:strike w:val="0"/>
          <w:color w:val="000000"/>
          <w:sz w:val="16"/>
          <w:u w:val="none"/>
        </w:rPr>
        <w:t xml:space="preserve"> </w:t>
      </w:r>
      <w:r>
        <w:rPr>
          <w:b w:val="0"/>
          <w:i w:val="0"/>
          <w:smallCaps w:val="0"/>
          <w:strike w:val="0"/>
          <w:color w:val="000000"/>
          <w:u w:val="single"/>
        </w:rPr>
        <w:t>the system's constitutionally mandated goal:</w:t>
      </w:r>
      <w:r>
        <w:rPr>
          <w:b w:val="0"/>
          <w:i w:val="0"/>
          <w:smallCaps w:val="0"/>
          <w:strike w:val="0"/>
          <w:color w:val="000000"/>
          <w:sz w:val="16"/>
          <w:u w:val="none"/>
        </w:rPr>
        <w:t xml:space="preserve"> </w:t>
      </w:r>
      <w:r>
        <w:rPr>
          <w:b/>
          <w:i w:val="0"/>
          <w:smallCaps w:val="0"/>
          <w:strike w:val="0"/>
          <w:color w:val="000000"/>
          <w:u w:val="single"/>
        </w:rPr>
        <w:t>the promotion of</w:t>
      </w:r>
      <w:r>
        <w:rPr>
          <w:b w:val="0"/>
          <w:i w:val="0"/>
          <w:smallCaps w:val="0"/>
          <w:strike w:val="0"/>
          <w:color w:val="000000"/>
          <w:sz w:val="16"/>
          <w:u w:val="none"/>
        </w:rPr>
        <w:t xml:space="preserve"> </w:t>
      </w:r>
      <w:r>
        <w:rPr>
          <w:b/>
          <w:i w:val="0"/>
          <w:smallCaps w:val="0"/>
          <w:strike w:val="0"/>
          <w:sz w:val="22"/>
          <w:highlight w:val="cyan"/>
          <w:u w:val="single"/>
        </w:rPr>
        <w:t>innovation</w:t>
      </w:r>
      <w:r>
        <w:rPr>
          <w:b w:val="0"/>
          <w:i w:val="0"/>
          <w:smallCaps w:val="0"/>
          <w:strike w:val="0"/>
          <w:color w:val="000000"/>
          <w:sz w:val="16"/>
          <w:u w:val="none"/>
        </w:rPr>
        <w:t>.</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