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That links to the net benefit. </w:t>
      </w:r>
      <w:r>
        <w:rPr>
          <w:b/>
          <w:i w:val="0"/>
          <w:smallCaps w:val="0"/>
          <w:strike w:val="0"/>
          <w:sz w:val="26"/>
          <w:u w:val="none"/>
        </w:rPr>
        <w:t xml:space="preserve">CP alone is key to </w:t>
      </w:r>
      <w:r>
        <w:rPr>
          <w:b/>
          <w:i w:val="0"/>
          <w:smallCaps w:val="0"/>
          <w:strike w:val="0"/>
          <w:sz w:val="26"/>
          <w:u w:val="none"/>
        </w:rPr>
        <w:t>re-establishing</w:t>
      </w:r>
      <w:r>
        <w:rPr>
          <w:b/>
          <w:i w:val="0"/>
          <w:smallCaps w:val="0"/>
          <w:strike w:val="0"/>
          <w:sz w:val="26"/>
          <w:u w:val="none"/>
        </w:rPr>
        <w:t xml:space="preserve"> Chevron. Perm clarifies statutes, which doesn’t set the precedent</w:t>
      </w:r>
    </w:p>
    <w:p>
      <w:pPr>
        <w:spacing w:after="80"/>
      </w:pPr>
      <w:r>
        <w:rPr>
          <w:b/>
          <w:i w:val="0"/>
          <w:smallCaps w:val="0"/>
          <w:strike w:val="0"/>
          <w:sz w:val="26"/>
          <w:u w:val="none"/>
        </w:rPr>
        <w:t>Wong 6/28</w:t>
      </w:r>
      <w:r>
        <w:rPr>
          <w:b w:val="0"/>
          <w:i w:val="0"/>
          <w:smallCaps w:val="0"/>
          <w:strike w:val="0"/>
          <w:u w:val="none"/>
        </w:rPr>
        <w:t xml:space="preserve">Erin </w:t>
      </w:r>
      <w:r>
        <w:rPr>
          <w:b w:val="0"/>
          <w:i w:val="0"/>
          <w:smallCaps w:val="0"/>
          <w:strike w:val="0"/>
          <w:u w:val="none"/>
        </w:rPr>
        <w:t>W</w:t>
      </w:r>
      <w:r>
        <w:rPr>
          <w:b w:val="0"/>
          <w:i w:val="0"/>
          <w:smallCaps w:val="0"/>
          <w:strike w:val="0"/>
          <w:u w:val="none"/>
        </w:rPr>
        <w:t>o</w:t>
      </w:r>
      <w:r>
        <w:rPr>
          <w:b w:val="0"/>
          <w:i w:val="0"/>
          <w:smallCaps w:val="0"/>
          <w:strike w:val="0"/>
          <w:u w:val="none"/>
        </w:rPr>
        <w:t>ng(</w:t>
      </w:r>
      <w:r>
        <w:rPr>
          <w:b w:val="0"/>
          <w:i w:val="0"/>
          <w:smallCaps w:val="0"/>
          <w:strike w:val="0"/>
          <w:u w:val="none"/>
        </w:rPr>
        <w:t>Erin X. Wong is an editorial fellow at High Country News, covering clean energy and environmental justice. They actively report on informal recyclers, also known as waste pickers, in the U.S. and around the world.</w:t>
      </w:r>
      <w:r>
        <w:rPr>
          <w:b w:val="0"/>
          <w:i w:val="0"/>
          <w:smallCaps w:val="0"/>
          <w:strike w:val="0"/>
          <w:u w:val="none"/>
        </w:rPr>
        <w:t>) 06-28-2024, “Supreme Court curtails agencies’ ability to enforce regulations</w:t>
      </w:r>
      <w:r>
        <w:rPr>
          <w:b w:val="0"/>
          <w:i w:val="0"/>
          <w:smallCaps w:val="0"/>
          <w:strike w:val="0"/>
          <w:u w:val="none"/>
        </w:rPr>
        <w:t xml:space="preserve">" </w:t>
      </w:r>
    </w:p>
    <w:p>
      <w:pPr>
        <w:spacing w:after="60"/>
      </w:pPr>
      <w:r>
        <w:rPr>
          <w:b w:val="0"/>
          <w:i w:val="0"/>
          <w:smallCaps w:val="0"/>
          <w:strike w:val="0"/>
          <w:sz w:val="10"/>
          <w:u w:val="none"/>
        </w:rPr>
        <w:t>Supreme Court curtails agencies’ ability to enforce regulations</w:t>
      </w:r>
      <w:r>
        <w:rPr>
          <w:b w:val="0"/>
          <w:i w:val="0"/>
          <w:smallCaps w:val="0"/>
          <w:strike w:val="0"/>
          <w:sz w:val="10"/>
          <w:u w:val="none"/>
        </w:rPr>
        <w:t xml:space="preserve"> The</w:t>
      </w:r>
      <w:r>
        <w:rPr>
          <w:b w:val="0"/>
          <w:i w:val="0"/>
          <w:smallCaps w:val="0"/>
          <w:strike w:val="0"/>
          <w:sz w:val="10"/>
          <w:u w:val="none"/>
        </w:rPr>
        <w:t xml:space="preserve"> repeal of the bedrock Chevron doctrine throws climate and conservation laws into doubt. </w:t>
      </w:r>
      <w:r>
        <w:rPr>
          <w:b w:val="0"/>
          <w:i w:val="0"/>
          <w:smallCaps w:val="0"/>
          <w:strike w:val="0"/>
          <w:u w:val="single"/>
        </w:rPr>
        <w:t xml:space="preserve">On Friday, </w:t>
      </w:r>
      <w:r>
        <w:rPr>
          <w:b w:val="0"/>
          <w:i w:val="0"/>
          <w:smallCaps w:val="0"/>
          <w:strike w:val="0"/>
          <w:highlight w:val="cyan"/>
          <w:u w:val="single"/>
        </w:rPr>
        <w:t>the Supreme Court</w:t>
      </w:r>
      <w:r>
        <w:rPr>
          <w:b w:val="0"/>
          <w:i w:val="0"/>
          <w:smallCaps w:val="0"/>
          <w:strike w:val="0"/>
          <w:u w:val="single"/>
        </w:rPr>
        <w:t xml:space="preserve">’s conservative </w:t>
      </w:r>
      <w:r>
        <w:rPr>
          <w:b w:val="0"/>
          <w:i w:val="0"/>
          <w:smallCaps w:val="0"/>
          <w:strike w:val="0"/>
          <w:highlight w:val="cyan"/>
          <w:u w:val="single"/>
        </w:rPr>
        <w:t>majority struck down the Chevron doctrine</w:t>
      </w:r>
      <w:r>
        <w:rPr>
          <w:b w:val="0"/>
          <w:i w:val="0"/>
          <w:smallCaps w:val="0"/>
          <w:strike w:val="0"/>
          <w:u w:val="single"/>
        </w:rPr>
        <w:t xml:space="preserve">, a 40-year-old pillar of administrative law. </w:t>
      </w:r>
      <w:r>
        <w:rPr>
          <w:b w:val="0"/>
          <w:i w:val="0"/>
          <w:smallCaps w:val="0"/>
          <w:strike w:val="0"/>
          <w:highlight w:val="cyan"/>
          <w:u w:val="single"/>
        </w:rPr>
        <w:t>The decision is likely to initiate an era of uncertainty for federal regulation.</w:t>
      </w:r>
      <w:r>
        <w:rPr>
          <w:b w:val="0"/>
          <w:i w:val="0"/>
          <w:smallCaps w:val="0"/>
          <w:strike w:val="0"/>
          <w:u w:val="single"/>
        </w:rPr>
        <w:t xml:space="preserve"> </w:t>
      </w:r>
      <w:r>
        <w:rPr>
          <w:b w:val="0"/>
          <w:i w:val="0"/>
          <w:smallCaps w:val="0"/>
          <w:strike w:val="0"/>
          <w:highlight w:val="cyan"/>
          <w:u w:val="single"/>
        </w:rPr>
        <w:t xml:space="preserve">Chevron gave </w:t>
      </w:r>
      <w:r>
        <w:rPr>
          <w:b w:val="0"/>
          <w:i w:val="0"/>
          <w:smallCaps w:val="0"/>
          <w:strike w:val="0"/>
          <w:u w:val="single"/>
        </w:rPr>
        <w:t xml:space="preserve">federal </w:t>
      </w:r>
      <w:r>
        <w:rPr>
          <w:b w:val="0"/>
          <w:i w:val="0"/>
          <w:smallCaps w:val="0"/>
          <w:strike w:val="0"/>
          <w:highlight w:val="cyan"/>
          <w:u w:val="single"/>
        </w:rPr>
        <w:t xml:space="preserve">agencies room to interpret ambiguous </w:t>
      </w:r>
      <w:r>
        <w:rPr>
          <w:b w:val="0"/>
          <w:i w:val="0"/>
          <w:smallCaps w:val="0"/>
          <w:strike w:val="0"/>
          <w:u w:val="single"/>
        </w:rPr>
        <w:t xml:space="preserve">or unclear </w:t>
      </w:r>
      <w:r>
        <w:rPr>
          <w:b w:val="0"/>
          <w:i w:val="0"/>
          <w:smallCaps w:val="0"/>
          <w:strike w:val="0"/>
          <w:highlight w:val="cyan"/>
          <w:u w:val="single"/>
        </w:rPr>
        <w:t xml:space="preserve">laws and instructed the courts to defer to these interpretations </w:t>
      </w:r>
      <w:r>
        <w:rPr>
          <w:b w:val="0"/>
          <w:i w:val="0"/>
          <w:smallCaps w:val="0"/>
          <w:strike w:val="0"/>
          <w:u w:val="single"/>
        </w:rPr>
        <w:t>as long as</w:t>
      </w:r>
      <w:r>
        <w:rPr>
          <w:b w:val="0"/>
          <w:i w:val="0"/>
          <w:smallCaps w:val="0"/>
          <w:strike w:val="0"/>
          <w:u w:val="single"/>
        </w:rPr>
        <w:t xml:space="preserve"> they </w:t>
      </w:r>
      <w:r>
        <w:rPr>
          <w:b w:val="0"/>
          <w:i w:val="0"/>
          <w:smallCaps w:val="0"/>
          <w:strike w:val="0"/>
          <w:u w:val="single"/>
        </w:rPr>
        <w:t>were</w:t>
      </w:r>
      <w:r>
        <w:rPr>
          <w:b w:val="0"/>
          <w:i w:val="0"/>
          <w:smallCaps w:val="0"/>
          <w:strike w:val="0"/>
          <w:u w:val="single"/>
        </w:rPr>
        <w:t xml:space="preserve"> reasonable understandings of the law.</w:t>
      </w:r>
      <w:r>
        <w:rPr>
          <w:b w:val="0"/>
          <w:i w:val="0"/>
          <w:smallCaps w:val="0"/>
          <w:strike w:val="0"/>
          <w:u w:val="single"/>
        </w:rPr>
        <w:t xml:space="preserve"> </w:t>
      </w:r>
      <w:r>
        <w:rPr>
          <w:b w:val="0"/>
          <w:i w:val="0"/>
          <w:smallCaps w:val="0"/>
          <w:strike w:val="0"/>
          <w:sz w:val="10"/>
          <w:u w:val="none"/>
        </w:rPr>
        <w:t xml:space="preserve">Chief Justice John Roberts, who wrote the majority opinion for the landmark 6-3 decision, argued that the Chevron doctrine “defies the command” of the Administrative Procedures Act, the law that controls the operations of federal agencies. “Chevron’s presumption is misguided because agencies have no special competence in resolving statutory ambiguities,” Roberts wrote. “Courts do.” The court sided with the petitioners, resolving two companion cases, Loper Bright Enterprises v. Raimondo and Relentless, Inc. v. Department of Commerce. In her dissent, Justice Elena Kagan argued that Congress can constitutionally allow agencies to act at their own discretion, within limits, and she made a case for Chevron’s place as a fundamental legal precedent. “It has become part of the warp and woof of modern government, supporting regulatory efforts of all kinds — to name a few, keeping air and water clean, food and drugs safe, and financial markets honest,” she wrote. From left, Supreme Court Chief Justice John Roberts, Associate Justices Sonia Sotomayor, and Elena Kagan. Roberts wrote the majority </w:t>
      </w:r>
      <w:r>
        <w:rPr>
          <w:b w:val="0"/>
          <w:i w:val="0"/>
          <w:smallCaps w:val="0"/>
          <w:strike w:val="0"/>
          <w:sz w:val="10"/>
          <w:u w:val="none"/>
        </w:rPr>
        <w:t>opinion,</w:t>
      </w:r>
      <w:r>
        <w:rPr>
          <w:b w:val="0"/>
          <w:i w:val="0"/>
          <w:smallCaps w:val="0"/>
          <w:strike w:val="0"/>
          <w:sz w:val="10"/>
          <w:u w:val="none"/>
        </w:rPr>
        <w:t xml:space="preserve"> Kagan wrote the dissent in resolving two companion cases that </w:t>
      </w:r>
      <w:r>
        <w:rPr>
          <w:b w:val="0"/>
          <w:i w:val="0"/>
          <w:smallCaps w:val="0"/>
          <w:strike w:val="0"/>
          <w:sz w:val="10"/>
          <w:u w:val="none"/>
        </w:rPr>
        <w:t>overturn</w:t>
      </w:r>
      <w:r>
        <w:rPr>
          <w:b w:val="0"/>
          <w:i w:val="0"/>
          <w:smallCaps w:val="0"/>
          <w:strike w:val="0"/>
          <w:sz w:val="10"/>
          <w:u w:val="none"/>
        </w:rPr>
        <w:t xml:space="preserve"> the Chevron doctrine. Tom Williams/AP Image </w:t>
      </w:r>
      <w:r>
        <w:rPr>
          <w:b w:val="0"/>
          <w:i w:val="0"/>
          <w:smallCaps w:val="0"/>
          <w:strike w:val="0"/>
          <w:highlight w:val="cyan"/>
          <w:u w:val="single"/>
        </w:rPr>
        <w:t>Chevron’s repeal will have huge ramifications across the West</w:t>
      </w:r>
      <w:r>
        <w:rPr>
          <w:b w:val="0"/>
          <w:i w:val="0"/>
          <w:smallCaps w:val="0"/>
          <w:strike w:val="0"/>
          <w:u w:val="single"/>
        </w:rPr>
        <w:t>, opening the door to a wave of litigation that could result in countless reinterpretations of foundational laws governing clean air and water, public lands, forest management and climate policy, as well as healthcare, taxes and emerging technology.</w:t>
      </w:r>
      <w:r>
        <w:rPr>
          <w:b w:val="0"/>
          <w:i w:val="0"/>
          <w:smallCaps w:val="0"/>
          <w:strike w:val="0"/>
          <w:u w:val="single"/>
        </w:rPr>
        <w:t xml:space="preserve"> </w:t>
      </w:r>
      <w:r>
        <w:rPr>
          <w:b w:val="0"/>
          <w:i w:val="0"/>
          <w:smallCaps w:val="0"/>
          <w:strike w:val="0"/>
          <w:sz w:val="10"/>
          <w:u w:val="none"/>
        </w:rPr>
        <w:t xml:space="preserve">The decision “marks a significant change in the balance of power and the relationship between the three branches of government,” said Chris Winter, the executive director of the University of Colorado Law School’s </w:t>
      </w:r>
      <w:r>
        <w:rPr>
          <w:b w:val="0"/>
          <w:i w:val="0"/>
          <w:smallCaps w:val="0"/>
          <w:strike w:val="0"/>
          <w:sz w:val="10"/>
          <w:u w:val="none"/>
        </w:rPr>
        <w:t>Getches</w:t>
      </w:r>
      <w:r>
        <w:rPr>
          <w:b w:val="0"/>
          <w:i w:val="0"/>
          <w:smallCaps w:val="0"/>
          <w:strike w:val="0"/>
          <w:sz w:val="10"/>
          <w:u w:val="none"/>
        </w:rPr>
        <w:t xml:space="preserve">-Wilkinson Center for Natural Resources, Energy, and the Environment. He added that it is difficult to predict the magnitude of the change. “It has become part of the warp and woof of modern government, supporting regulatory efforts of all kinds.” The </w:t>
      </w:r>
      <w:r>
        <w:rPr>
          <w:b w:val="0"/>
          <w:i w:val="0"/>
          <w:smallCaps w:val="0"/>
          <w:strike w:val="0"/>
          <w:u w:val="single"/>
        </w:rPr>
        <w:t xml:space="preserve">Chevron doctrine arose from a challenge to the Clean Air Act in 1984. The Natural Resources Defense Council challenged the Environmental Protection Agency’s definition of a single “source” of pollutants, which could refer to an entire factory or a single furnace. </w:t>
      </w:r>
      <w:r>
        <w:rPr>
          <w:b w:val="0"/>
          <w:i w:val="0"/>
          <w:smallCaps w:val="0"/>
          <w:strike w:val="0"/>
          <w:highlight w:val="cyan"/>
          <w:u w:val="single"/>
        </w:rPr>
        <w:t xml:space="preserve">The justices </w:t>
      </w:r>
      <w:r>
        <w:rPr>
          <w:b w:val="0"/>
          <w:i w:val="0"/>
          <w:smallCaps w:val="0"/>
          <w:strike w:val="0"/>
          <w:u w:val="single"/>
        </w:rPr>
        <w:t xml:space="preserve">ultimately </w:t>
      </w:r>
      <w:r>
        <w:rPr>
          <w:b w:val="0"/>
          <w:i w:val="0"/>
          <w:smallCaps w:val="0"/>
          <w:strike w:val="0"/>
          <w:highlight w:val="cyan"/>
          <w:u w:val="single"/>
        </w:rPr>
        <w:t xml:space="preserve">deferred </w:t>
      </w:r>
      <w:r>
        <w:rPr>
          <w:b w:val="0"/>
          <w:i w:val="0"/>
          <w:smallCaps w:val="0"/>
          <w:strike w:val="0"/>
          <w:u w:val="single"/>
        </w:rPr>
        <w:t>their decision</w:t>
      </w:r>
      <w:r>
        <w:rPr>
          <w:b w:val="0"/>
          <w:i w:val="0"/>
          <w:smallCaps w:val="0"/>
          <w:strike w:val="0"/>
          <w:highlight w:val="cyan"/>
          <w:u w:val="single"/>
        </w:rPr>
        <w:t xml:space="preserve"> to the EPA </w:t>
      </w:r>
      <w:r>
        <w:rPr>
          <w:b w:val="0"/>
          <w:i w:val="0"/>
          <w:smallCaps w:val="0"/>
          <w:strike w:val="0"/>
          <w:u w:val="single"/>
        </w:rPr>
        <w:t>as the agency responsible for enforcement, and thus encoded a process whereby</w:t>
      </w:r>
      <w:r>
        <w:rPr>
          <w:b w:val="0"/>
          <w:i w:val="0"/>
          <w:smallCaps w:val="0"/>
          <w:strike w:val="0"/>
          <w:highlight w:val="cyan"/>
          <w:u w:val="single"/>
        </w:rPr>
        <w:t xml:space="preserve">, if any ambiguities in a law arose, the courts could defer </w:t>
      </w:r>
      <w:r>
        <w:rPr>
          <w:b w:val="0"/>
          <w:i w:val="0"/>
          <w:smallCaps w:val="0"/>
          <w:strike w:val="0"/>
          <w:u w:val="single"/>
        </w:rPr>
        <w:t>to the responsible agency</w:t>
      </w:r>
      <w:r>
        <w:rPr>
          <w:b w:val="0"/>
          <w:i w:val="0"/>
          <w:smallCaps w:val="0"/>
          <w:strike w:val="0"/>
          <w:highlight w:val="cyan"/>
          <w:u w:val="single"/>
        </w:rPr>
        <w:t xml:space="preserve">. By overturning Chevron, the Supreme Court has transferred this authority to </w:t>
      </w:r>
      <w:r>
        <w:rPr>
          <w:b w:val="0"/>
          <w:i w:val="0"/>
          <w:smallCaps w:val="0"/>
          <w:strike w:val="0"/>
          <w:u w:val="single"/>
        </w:rPr>
        <w:t xml:space="preserve">clarify the meaning of written law </w:t>
      </w:r>
      <w:r>
        <w:rPr>
          <w:b w:val="0"/>
          <w:i w:val="0"/>
          <w:smallCaps w:val="0"/>
          <w:strike w:val="0"/>
          <w:highlight w:val="cyan"/>
          <w:u w:val="single"/>
        </w:rPr>
        <w:t xml:space="preserve">from agencies to the judicial </w:t>
      </w:r>
      <w:r>
        <w:rPr>
          <w:b w:val="0"/>
          <w:i w:val="0"/>
          <w:smallCaps w:val="0"/>
          <w:strike w:val="0"/>
          <w:u w:val="single"/>
        </w:rPr>
        <w:t>system</w:t>
      </w:r>
      <w:r>
        <w:rPr>
          <w:b w:val="0"/>
          <w:i w:val="0"/>
          <w:smallCaps w:val="0"/>
          <w:strike w:val="0"/>
          <w:highlight w:val="cyan"/>
          <w:u w:val="single"/>
        </w:rPr>
        <w:t xml:space="preserve">. When disagreements end up </w:t>
      </w:r>
      <w:r>
        <w:rPr>
          <w:b w:val="0"/>
          <w:i w:val="0"/>
          <w:smallCaps w:val="0"/>
          <w:strike w:val="0"/>
          <w:u w:val="single"/>
        </w:rPr>
        <w:t xml:space="preserve">in the courtroom, </w:t>
      </w:r>
      <w:r>
        <w:rPr>
          <w:b w:val="0"/>
          <w:i w:val="0"/>
          <w:smallCaps w:val="0"/>
          <w:strike w:val="0"/>
          <w:highlight w:val="cyan"/>
          <w:u w:val="single"/>
        </w:rPr>
        <w:t>judges</w:t>
      </w:r>
      <w:r>
        <w:rPr>
          <w:b w:val="0"/>
          <w:i w:val="0"/>
          <w:smallCaps w:val="0"/>
          <w:strike w:val="0"/>
          <w:u w:val="single"/>
        </w:rPr>
        <w:t xml:space="preserve"> </w:t>
      </w:r>
      <w:r>
        <w:rPr>
          <w:b w:val="0"/>
          <w:i w:val="0"/>
          <w:smallCaps w:val="0"/>
          <w:strike w:val="0"/>
          <w:highlight w:val="cyan"/>
          <w:u w:val="single"/>
        </w:rPr>
        <w:t xml:space="preserve">will </w:t>
      </w:r>
      <w:r>
        <w:rPr>
          <w:b w:val="0"/>
          <w:i w:val="0"/>
          <w:smallCaps w:val="0"/>
          <w:strike w:val="0"/>
          <w:u w:val="single"/>
        </w:rPr>
        <w:t xml:space="preserve">now </w:t>
      </w:r>
      <w:r>
        <w:rPr>
          <w:b w:val="0"/>
          <w:i w:val="0"/>
          <w:smallCaps w:val="0"/>
          <w:strike w:val="0"/>
          <w:highlight w:val="cyan"/>
          <w:u w:val="single"/>
        </w:rPr>
        <w:t xml:space="preserve">have the final say on how laws are implemented, even in technical cases, </w:t>
      </w:r>
      <w:r>
        <w:rPr>
          <w:b w:val="0"/>
          <w:i w:val="0"/>
          <w:smallCaps w:val="0"/>
          <w:strike w:val="0"/>
          <w:u w:val="single"/>
        </w:rPr>
        <w:t>such as the issuing of licenses for nuclear storage sites. Congress, meanwhile, will need to be more precise and targeted in drafting laws — something that is far from guaranteed in the current polarized Legislature.</w:t>
      </w:r>
      <w:r>
        <w:rPr>
          <w:b w:val="0"/>
          <w:i w:val="0"/>
          <w:smallCaps w:val="0"/>
          <w:strike w:val="0"/>
          <w:u w:val="single"/>
        </w:rPr>
        <w:t xml:space="preserve"> </w:t>
      </w:r>
      <w:r>
        <w:rPr>
          <w:b w:val="0"/>
          <w:i w:val="0"/>
          <w:smallCaps w:val="0"/>
          <w:strike w:val="0"/>
          <w:sz w:val="10"/>
          <w:u w:val="none"/>
        </w:rPr>
        <w:t xml:space="preserve">The outcome could prove paralyzing for agencies, said Rosalie Winn, director and lead counsel for methane and clean air policy for the Environmental Defense Fund, because it could create a patchwork regulatory landscape that varies depending on separate lower court interpretations of the same law. Whereas Chevron offered a kind of national uniformity based on deference to the expertise of regulators, now agencies will need to adhere to interpretations within the jurisdiction of separate district courts. In her dissent, Kagan described this change as undemocratic. “Agencies report to a President, who in turn answers to the public for his policy calls,” she wrote. “Courts have no such accountability and no proper basis for making policy.” Proponents of removing Chevron argue that the doctrine created its own regulatory uncertainty, because the real-world impacts of a law could shift considerably every four years, from one presidential administration to the next. Chevron’s refinery outside Los Angeles. The Chevron doctrine arose from a challenge to the Clean Air Act in 1984 and the EPA’S definition of a single “source” of pollutants, which could refer to an entire factory or a single furnace. “By its sheer breadth, Chevron fosters unwarranted instability in the law, leaving those attempting to plan around agency action in an eternal fog of uncertainty,” Roberts wrote in the majority opinion. In Loper Bright, for instance, a group of fishermen who operate along the Northeast coast had objected to the National Marine Fisheries Association’s rule, which could require fishing industries to pay up to 20% of their revenue for on-board observers. They pointed out that Congress expressly limits payments to 2%-3% of what they earned and said that the agency’s interpretation went too far in what it deemed “necessary and appropriate” for conservation. “By its sheer breadth, Chevron fosters unwarranted instability in the law, leaving those attempting to plan around agency action in an eternal fog of uncertainty.” Under Chevron, the ability to update interpretations of existing law allowed agencies to adjust how they enforce the laws </w:t>
      </w:r>
      <w:r>
        <w:rPr>
          <w:b w:val="0"/>
          <w:i w:val="0"/>
          <w:smallCaps w:val="0"/>
          <w:strike w:val="0"/>
          <w:sz w:val="10"/>
          <w:u w:val="none"/>
        </w:rPr>
        <w:t>in light of</w:t>
      </w:r>
      <w:r>
        <w:rPr>
          <w:b w:val="0"/>
          <w:i w:val="0"/>
          <w:smallCaps w:val="0"/>
          <w:strike w:val="0"/>
          <w:sz w:val="10"/>
          <w:u w:val="none"/>
        </w:rPr>
        <w:t xml:space="preserve"> advancing scientific knowledge and changing realities. During the Obama administration, for example, Chevron allowed the EPA to redefine individual “sources” of pollutants under the Clean Air Act yet again. In 2016, the EPA issued a new rule that requires oil and gas well operators to check wells for methane leaks, a major source of greenhouse gas emissions. More recently, the Bureau of Land Management issued a new public-lands rule, which elevated “conservation” to the same level of importance as energy and mining — a change made possible by reinterpreting the Federal Land Policy Management Act’s directive to balance “multiple uses” of public lands. Now, a wide range of environmental legislation and policy — from the Endangered Species Act to tax incentives under the Inflation Reduction Act — could be called into question, with the judicial branch responsible for filling in gaps in written law. The broader context of today’s decision, said Sanne Knudsen, professor of environmental law at the University of Washington, is that the Supreme Court seems to be on a deregulatory trend. She pointed to two separate cases challenging the Clean Water Act’s interpretation of the “waters of the United States.” In 1985, the year after Chevron came into force, the court took a deferential approach and allowed the EPA to include most wetlands in this definition. In a 2023 case, however, the court majority did not cite Chevron at all, resulting in a much narrower definition of U.S. waters that dramatically reduced law’s protections. The Chevron decision is a victory for business interests and conservative legal groups, which have fought federal government regulation for decades. They have found an ally in Roberts’ Supreme Court, which has supported business interests more consistently than any other court over the past century, according to reporting by E&amp;E News. The most recent decision will only confirm this trend, with a ruling that enjoyed the resounding support of business interests, including the fossil fuel and meatpacking industries. Attorneys linked to Americans for Prosperity — the conservative legal group funded by Charles and the late David Koch, the petrochemical billionaires — represented the fishing interests in Loper Bright. Some states had preceded the Supreme Court in doing away with Chevron. Arizona, Utah and Colorado are among the more than 10 states that have laws to undo judicial deference to agencies. If a state wants to preserve deference, its Legislature can enshrine this process into law. But at the federal level, the old precedent is gone, and the onus to write clear laws will fall to a divided Congress. “In a world where Congress is functioning, Congress can check the courts,” Knudsen said, “If Congress were doing its job, quite frankly, the concerns around this would be a lot more muted.”</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