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decision is key for </w:t>
      </w:r>
      <w:r>
        <w:rPr>
          <w:b/>
          <w:i w:val="0"/>
          <w:smallCaps w:val="0"/>
          <w:strike w:val="0"/>
          <w:sz w:val="26"/>
          <w:u w:val="single"/>
        </w:rPr>
        <w:t>multiple cases</w:t>
      </w:r>
      <w:r>
        <w:rPr>
          <w:b/>
          <w:i w:val="0"/>
          <w:smallCaps w:val="0"/>
          <w:strike w:val="0"/>
          <w:sz w:val="26"/>
          <w:u w:val="none"/>
        </w:rPr>
        <w:t xml:space="preserve"> that determined the EPA’s ability to </w:t>
      </w:r>
      <w:r>
        <w:rPr>
          <w:b/>
          <w:i w:val="0"/>
          <w:smallCaps w:val="0"/>
          <w:strike w:val="0"/>
          <w:sz w:val="26"/>
          <w:u w:val="none"/>
        </w:rPr>
        <w:t>regulate on</w:t>
      </w:r>
      <w:r>
        <w:rPr>
          <w:b/>
          <w:i w:val="0"/>
          <w:smallCaps w:val="0"/>
          <w:strike w:val="0"/>
          <w:sz w:val="26"/>
          <w:u w:val="none"/>
        </w:rPr>
        <w:t xml:space="preserve"> emissions, pollution, and water protection.</w:t>
      </w:r>
    </w:p>
    <w:p>
      <w:pPr>
        <w:spacing w:after="80"/>
      </w:pPr>
      <w:r>
        <w:rPr>
          <w:b w:val="0"/>
          <w:i w:val="0"/>
          <w:smallCaps w:val="0"/>
          <w:strike w:val="0"/>
          <w:u w:val="none"/>
        </w:rPr>
        <w:t xml:space="preserve">Dawn </w:t>
      </w:r>
      <w:r>
        <w:rPr>
          <w:b/>
          <w:i w:val="0"/>
          <w:smallCaps w:val="0"/>
          <w:strike w:val="0"/>
          <w:sz w:val="26"/>
          <w:u w:val="none"/>
        </w:rPr>
        <w:t>Reeves 24,</w:t>
      </w:r>
      <w:r>
        <w:rPr>
          <w:b w:val="0"/>
          <w:i w:val="0"/>
          <w:smallCaps w:val="0"/>
          <w:strike w:val="0"/>
          <w:u w:val="none"/>
        </w:rPr>
        <w:t xml:space="preserve"> </w:t>
      </w:r>
      <w:r>
        <w:rPr>
          <w:b w:val="0"/>
          <w:i w:val="0"/>
          <w:smallCaps w:val="0"/>
          <w:strike w:val="0"/>
          <w:u w:val="none"/>
        </w:rPr>
        <w:t>Senior Correspondent, Inside EPA at Inside Washington Publishers</w:t>
      </w:r>
      <w:r>
        <w:rPr>
          <w:b w:val="0"/>
          <w:i w:val="0"/>
          <w:smallCaps w:val="0"/>
          <w:strike w:val="0"/>
          <w:u w:val="none"/>
        </w:rPr>
        <w:t xml:space="preserve">, “JUSTICES' LOOMING CHEVRON DECISION COULD IMPERIL SCORES OF EPA RULES” </w:t>
      </w:r>
      <w:r>
        <w:rPr>
          <w:b w:val="0"/>
          <w:i w:val="0"/>
          <w:smallCaps w:val="0"/>
          <w:strike w:val="0"/>
          <w:u w:val="none"/>
        </w:rPr>
        <w:t>https://advance-lexis-com.proxy.lib.umich.edu/document/?pdmfid=1516831&amp;crid=2263c077-582d-4a42-b679-f4c1359d76af&amp;pddocfullpath=%2Fshared%2Fdocument%2Fnews%2Furn%3AcontentItem%3A6BCR-JSR1-DY0P-G004-00000-00&amp;pdcontentcomponentid=297280&amp;pdteaserkey=sr0&amp;pditab=allpods&amp;ecomp=h6yyk&amp;earg=sr0&amp;prid=2cd1e8c4-253e-47ec-928b-92f9cc259e48</w:t>
      </w:r>
      <w:r>
        <w:rPr>
          <w:b w:val="0"/>
          <w:i w:val="0"/>
          <w:smallCaps w:val="0"/>
          <w:strike w:val="0"/>
          <w:u w:val="none"/>
        </w:rPr>
        <w:t>, Lexis, 2-21-24,</w:t>
      </w:r>
    </w:p>
    <w:p>
      <w:pPr>
        <w:spacing w:after="60"/>
      </w:pPr>
      <w:r>
        <w:rPr>
          <w:b w:val="0"/>
          <w:i w:val="0"/>
          <w:smallCaps w:val="0"/>
          <w:strike w:val="0"/>
          <w:sz w:val="14"/>
          <w:u w:val="none"/>
        </w:rPr>
        <w:t xml:space="preserve">Among the </w:t>
      </w:r>
      <w:r>
        <w:rPr>
          <w:b w:val="0"/>
          <w:i w:val="0"/>
          <w:smallCaps w:val="0"/>
          <w:strike w:val="0"/>
          <w:sz w:val="22"/>
          <w:u w:val="single"/>
        </w:rPr>
        <w:t xml:space="preserve">EPA rules that the high </w:t>
      </w:r>
      <w:r>
        <w:rPr>
          <w:b/>
          <w:i w:val="0"/>
          <w:smallCaps w:val="0"/>
          <w:strike w:val="0"/>
          <w:sz w:val="22"/>
          <w:highlight w:val="cyan"/>
          <w:u w:val="single"/>
        </w:rPr>
        <w:t>court</w:t>
      </w:r>
      <w:r>
        <w:rPr>
          <w:b w:val="0"/>
          <w:i w:val="0"/>
          <w:smallCaps w:val="0"/>
          <w:strike w:val="0"/>
          <w:sz w:val="22"/>
          <w:u w:val="single"/>
        </w:rPr>
        <w:t xml:space="preserve"> has </w:t>
      </w:r>
      <w:r>
        <w:rPr>
          <w:b/>
          <w:i w:val="0"/>
          <w:smallCaps w:val="0"/>
          <w:strike w:val="0"/>
          <w:sz w:val="22"/>
          <w:highlight w:val="cyan"/>
          <w:u w:val="single"/>
        </w:rPr>
        <w:t>upheld</w:t>
      </w:r>
      <w:r>
        <w:rPr>
          <w:b/>
          <w:i w:val="0"/>
          <w:smallCaps w:val="0"/>
          <w:strike w:val="0"/>
          <w:sz w:val="22"/>
          <w:u w:val="single"/>
        </w:rPr>
        <w:t xml:space="preserve"> on Chevron grounds are </w:t>
      </w:r>
      <w:r>
        <w:rPr>
          <w:b/>
          <w:i w:val="0"/>
          <w:smallCaps w:val="0"/>
          <w:strike w:val="0"/>
          <w:sz w:val="22"/>
          <w:highlight w:val="cyan"/>
          <w:u w:val="single"/>
        </w:rPr>
        <w:t>measures addressing</w:t>
      </w:r>
      <w:r>
        <w:rPr>
          <w:b/>
          <w:i w:val="0"/>
          <w:smallCaps w:val="0"/>
          <w:strike w:val="0"/>
          <w:sz w:val="22"/>
          <w:u w:val="single"/>
        </w:rPr>
        <w:t xml:space="preserve"> air </w:t>
      </w:r>
      <w:r>
        <w:rPr>
          <w:b/>
          <w:i w:val="0"/>
          <w:smallCaps w:val="0"/>
          <w:strike w:val="0"/>
          <w:sz w:val="22"/>
          <w:highlight w:val="cyan"/>
          <w:u w:val="single"/>
        </w:rPr>
        <w:t>permits for</w:t>
      </w:r>
      <w:r>
        <w:rPr>
          <w:b/>
          <w:i w:val="0"/>
          <w:smallCaps w:val="0"/>
          <w:strike w:val="0"/>
          <w:sz w:val="22"/>
          <w:u w:val="single"/>
        </w:rPr>
        <w:t xml:space="preserve"> </w:t>
      </w:r>
      <w:r>
        <w:rPr>
          <w:b/>
          <w:i w:val="0"/>
          <w:smallCaps w:val="0"/>
          <w:strike w:val="0"/>
          <w:sz w:val="22"/>
          <w:highlight w:val="cyan"/>
          <w:u w:val="single"/>
        </w:rPr>
        <w:t>greenhouse gases</w:t>
      </w:r>
      <w:r>
        <w:rPr>
          <w:b/>
          <w:i w:val="0"/>
          <w:smallCaps w:val="0"/>
          <w:strike w:val="0"/>
          <w:sz w:val="22"/>
          <w:u w:val="single"/>
        </w:rPr>
        <w:t xml:space="preserve">, interstate </w:t>
      </w:r>
      <w:r>
        <w:rPr>
          <w:b/>
          <w:i w:val="0"/>
          <w:smallCaps w:val="0"/>
          <w:strike w:val="0"/>
          <w:sz w:val="22"/>
          <w:highlight w:val="cyan"/>
          <w:u w:val="single"/>
        </w:rPr>
        <w:t>ozone requirements</w:t>
      </w:r>
      <w:r>
        <w:rPr>
          <w:b/>
          <w:i w:val="0"/>
          <w:smallCaps w:val="0"/>
          <w:strike w:val="0"/>
          <w:sz w:val="22"/>
          <w:u w:val="single"/>
        </w:rPr>
        <w:t xml:space="preserve">, state </w:t>
      </w:r>
      <w:r>
        <w:rPr>
          <w:b/>
          <w:i w:val="0"/>
          <w:smallCaps w:val="0"/>
          <w:strike w:val="0"/>
          <w:sz w:val="22"/>
          <w:highlight w:val="cyan"/>
          <w:u w:val="single"/>
        </w:rPr>
        <w:t>water quality</w:t>
      </w:r>
      <w:r>
        <w:rPr>
          <w:b/>
          <w:i w:val="0"/>
          <w:smallCaps w:val="0"/>
          <w:strike w:val="0"/>
          <w:sz w:val="22"/>
          <w:u w:val="single"/>
        </w:rPr>
        <w:t xml:space="preserve"> certifications, cooling water intake rules and </w:t>
      </w:r>
      <w:r>
        <w:rPr>
          <w:b/>
          <w:i w:val="0"/>
          <w:smallCaps w:val="0"/>
          <w:strike w:val="0"/>
          <w:sz w:val="22"/>
          <w:highlight w:val="cyan"/>
          <w:u w:val="single"/>
        </w:rPr>
        <w:t>Endangered Species Act</w:t>
      </w:r>
      <w:r>
        <w:rPr>
          <w:b/>
          <w:i w:val="0"/>
          <w:smallCaps w:val="0"/>
          <w:strike w:val="0"/>
          <w:sz w:val="22"/>
          <w:u w:val="single"/>
        </w:rPr>
        <w:t xml:space="preserve"> </w:t>
      </w:r>
      <w:r>
        <w:rPr>
          <w:b w:val="0"/>
          <w:i w:val="0"/>
          <w:smallCaps w:val="0"/>
          <w:strike w:val="0"/>
          <w:sz w:val="14"/>
          <w:u w:val="none"/>
        </w:rPr>
        <w:t>(ESA) considerations in state water permit delegations, among others.</w:t>
      </w:r>
    </w:p>
    <w:p>
      <w:pPr>
        <w:spacing w:after="60"/>
      </w:pPr>
      <w:r>
        <w:rPr>
          <w:b w:val="0"/>
          <w:i w:val="0"/>
          <w:smallCaps w:val="0"/>
          <w:strike w:val="0"/>
          <w:sz w:val="14"/>
          <w:u w:val="none"/>
        </w:rPr>
        <w:t>The SG's brief noted that "</w:t>
      </w:r>
      <w:r>
        <w:rPr>
          <w:b w:val="0"/>
          <w:i w:val="0"/>
          <w:smallCaps w:val="0"/>
          <w:strike w:val="0"/>
          <w:sz w:val="22"/>
          <w:u w:val="single"/>
        </w:rPr>
        <w:t xml:space="preserve">all relevant stare decisis considerations weigh against the radical step" of </w:t>
      </w:r>
      <w:r>
        <w:rPr>
          <w:b w:val="0"/>
          <w:i w:val="0"/>
          <w:smallCaps w:val="0"/>
          <w:strike w:val="0"/>
          <w:sz w:val="22"/>
          <w:highlight w:val="cyan"/>
          <w:u w:val="single"/>
        </w:rPr>
        <w:t>overturning</w:t>
      </w:r>
      <w:r>
        <w:rPr>
          <w:b w:val="0"/>
          <w:i w:val="0"/>
          <w:smallCaps w:val="0"/>
          <w:strike w:val="0"/>
          <w:sz w:val="22"/>
          <w:u w:val="single"/>
        </w:rPr>
        <w:t xml:space="preserve"> the doctrine.</w:t>
      </w:r>
      <w:r>
        <w:rPr>
          <w:b w:val="0"/>
          <w:i w:val="0"/>
          <w:smallCaps w:val="0"/>
          <w:strike w:val="0"/>
          <w:sz w:val="14"/>
          <w:u w:val="none"/>
        </w:rPr>
        <w:t xml:space="preserve"> "[Over]ruling Chevron would threaten the settled expectations of parties who have relied on agency rules or orders upheld under it," the brief warned, and would </w:t>
      </w:r>
      <w:r>
        <w:rPr>
          <w:b w:val="0"/>
          <w:i w:val="0"/>
          <w:smallCaps w:val="0"/>
          <w:strike w:val="0"/>
          <w:sz w:val="22"/>
          <w:u w:val="single"/>
        </w:rPr>
        <w:t>"</w:t>
      </w:r>
      <w:r>
        <w:rPr>
          <w:b/>
          <w:i w:val="0"/>
          <w:smallCaps w:val="0"/>
          <w:strike w:val="0"/>
          <w:sz w:val="22"/>
          <w:highlight w:val="cyan"/>
          <w:u w:val="single"/>
        </w:rPr>
        <w:t>undermine</w:t>
      </w:r>
      <w:r>
        <w:rPr>
          <w:b/>
          <w:i w:val="0"/>
          <w:smallCaps w:val="0"/>
          <w:strike w:val="0"/>
          <w:sz w:val="22"/>
          <w:u w:val="single"/>
        </w:rPr>
        <w:t xml:space="preserve"> the actual </w:t>
      </w:r>
      <w:r>
        <w:rPr>
          <w:b/>
          <w:i w:val="0"/>
          <w:smallCaps w:val="0"/>
          <w:strike w:val="0"/>
          <w:sz w:val="22"/>
          <w:highlight w:val="cyan"/>
          <w:u w:val="single"/>
        </w:rPr>
        <w:t>integrity of</w:t>
      </w:r>
      <w:r>
        <w:rPr>
          <w:b/>
          <w:i w:val="0"/>
          <w:smallCaps w:val="0"/>
          <w:strike w:val="0"/>
          <w:sz w:val="22"/>
          <w:u w:val="single"/>
        </w:rPr>
        <w:t xml:space="preserve"> the </w:t>
      </w:r>
      <w:r>
        <w:rPr>
          <w:b/>
          <w:i w:val="0"/>
          <w:smallCaps w:val="0"/>
          <w:strike w:val="0"/>
          <w:sz w:val="22"/>
          <w:highlight w:val="cyan"/>
          <w:u w:val="single"/>
        </w:rPr>
        <w:t>judicial process</w:t>
      </w:r>
      <w:r>
        <w:rPr>
          <w:b w:val="0"/>
          <w:i w:val="0"/>
          <w:smallCaps w:val="0"/>
          <w:strike w:val="0"/>
          <w:sz w:val="22"/>
          <w:u w:val="single"/>
        </w:rPr>
        <w:t>."</w:t>
      </w:r>
    </w:p>
    <w:p>
      <w:pPr>
        <w:spacing w:after="60"/>
      </w:pPr>
      <w:r>
        <w:rPr>
          <w:b w:val="0"/>
          <w:i w:val="0"/>
          <w:smallCaps w:val="0"/>
          <w:strike w:val="0"/>
          <w:sz w:val="14"/>
          <w:u w:val="none"/>
        </w:rPr>
        <w:t xml:space="preserve">Several EPA cases feature in the high court's Chevron jurisprudence including </w:t>
      </w:r>
      <w:r>
        <w:rPr>
          <w:b w:val="0"/>
          <w:i w:val="0"/>
          <w:smallCaps w:val="0"/>
          <w:strike w:val="0"/>
          <w:sz w:val="22"/>
          <w:u w:val="single"/>
        </w:rPr>
        <w:t xml:space="preserve">Utility Air Regulatory Group v. EPA, </w:t>
      </w:r>
      <w:r>
        <w:rPr>
          <w:b w:val="0"/>
          <w:i w:val="0"/>
          <w:smallCaps w:val="0"/>
          <w:strike w:val="0"/>
          <w:sz w:val="14"/>
          <w:u w:val="none"/>
        </w:rPr>
        <w:t xml:space="preserve">where the court held 9-0 in 2014 that </w:t>
      </w:r>
      <w:r>
        <w:rPr>
          <w:b w:val="0"/>
          <w:i w:val="0"/>
          <w:smallCaps w:val="0"/>
          <w:strike w:val="0"/>
          <w:sz w:val="22"/>
          <w:u w:val="single"/>
        </w:rPr>
        <w:t>EPA is allowed to interpret "air pollutant" under the Clean Air Act</w:t>
      </w:r>
      <w:r>
        <w:rPr>
          <w:b w:val="0"/>
          <w:i w:val="0"/>
          <w:smallCaps w:val="0"/>
          <w:strike w:val="0"/>
          <w:sz w:val="14"/>
          <w:u w:val="none"/>
        </w:rPr>
        <w:t xml:space="preserve"> in a context-appropriate way, given that the existing permitting scheme would compel EPA to regulate tens of thousands of small facilities' GHG emissions.</w:t>
      </w:r>
    </w:p>
    <w:p>
      <w:pPr>
        <w:spacing w:after="60"/>
      </w:pPr>
      <w:r>
        <w:rPr>
          <w:b w:val="0"/>
          <w:i w:val="0"/>
          <w:smallCaps w:val="0"/>
          <w:strike w:val="0"/>
          <w:sz w:val="14"/>
          <w:u w:val="none"/>
        </w:rPr>
        <w:t xml:space="preserve">Though EPA overstepped its authority in trying to regulate GHGs, the court held that EPA's decision was within the boundaries of its Chevron discretion, according to the Oyez blog, a free law project from Cornell's Legal Information Institute, </w:t>
      </w:r>
      <w:r>
        <w:rPr>
          <w:b w:val="0"/>
          <w:i w:val="0"/>
          <w:smallCaps w:val="0"/>
          <w:strike w:val="0"/>
          <w:sz w:val="14"/>
          <w:u w:val="none"/>
        </w:rPr>
        <w:t>Justia</w:t>
      </w:r>
      <w:r>
        <w:rPr>
          <w:b w:val="0"/>
          <w:i w:val="0"/>
          <w:smallCaps w:val="0"/>
          <w:strike w:val="0"/>
          <w:sz w:val="14"/>
          <w:u w:val="none"/>
        </w:rPr>
        <w:t>, and Chicago-Kent College of Law.</w:t>
      </w:r>
    </w:p>
    <w:p>
      <w:pPr>
        <w:spacing w:after="60"/>
      </w:pPr>
      <w:r>
        <w:rPr>
          <w:b w:val="0"/>
          <w:i w:val="0"/>
          <w:smallCaps w:val="0"/>
          <w:strike w:val="0"/>
          <w:sz w:val="14"/>
          <w:u w:val="none"/>
        </w:rPr>
        <w:t xml:space="preserve">Another Chevron case is EPA v. EME Homer City Generation, also from 2014, where the court in a 6-2 holding </w:t>
      </w:r>
      <w:r>
        <w:rPr>
          <w:b w:val="0"/>
          <w:i w:val="0"/>
          <w:smallCaps w:val="0"/>
          <w:strike w:val="0"/>
          <w:sz w:val="22"/>
          <w:u w:val="single"/>
        </w:rPr>
        <w:t>reinstated EPA's C</w:t>
      </w:r>
      <w:r>
        <w:rPr>
          <w:b/>
          <w:i w:val="0"/>
          <w:smallCaps w:val="0"/>
          <w:strike w:val="0"/>
          <w:sz w:val="22"/>
          <w:u w:val="single"/>
        </w:rPr>
        <w:t xml:space="preserve">ross-State Air </w:t>
      </w:r>
      <w:r>
        <w:rPr>
          <w:b/>
          <w:i w:val="0"/>
          <w:smallCaps w:val="0"/>
          <w:strike w:val="0"/>
          <w:sz w:val="22"/>
          <w:highlight w:val="cyan"/>
          <w:u w:val="single"/>
        </w:rPr>
        <w:t>Pollution Rule</w:t>
      </w:r>
      <w:r>
        <w:rPr>
          <w:b/>
          <w:i w:val="0"/>
          <w:smallCaps w:val="0"/>
          <w:strike w:val="0"/>
          <w:sz w:val="22"/>
          <w:u w:val="single"/>
        </w:rPr>
        <w:t xml:space="preserve"> </w:t>
      </w:r>
      <w:r>
        <w:rPr>
          <w:b w:val="0"/>
          <w:i w:val="0"/>
          <w:smallCaps w:val="0"/>
          <w:strike w:val="0"/>
          <w:sz w:val="14"/>
          <w:u w:val="none"/>
        </w:rPr>
        <w:t>after finding EPA acted within its authority in creating the cap-and-trade program.</w:t>
      </w:r>
    </w:p>
    <w:p>
      <w:pPr>
        <w:spacing w:after="60"/>
      </w:pPr>
      <w:r>
        <w:rPr>
          <w:b w:val="0"/>
          <w:i w:val="0"/>
          <w:smallCaps w:val="0"/>
          <w:strike w:val="0"/>
          <w:sz w:val="14"/>
          <w:u w:val="none"/>
        </w:rPr>
        <w:t xml:space="preserve">A third, Entergy Corp. v. Riverkeeper, Inc., was decided in 2009 and held 5-4 that </w:t>
      </w:r>
      <w:r>
        <w:rPr>
          <w:b w:val="0"/>
          <w:i w:val="0"/>
          <w:smallCaps w:val="0"/>
          <w:strike w:val="0"/>
          <w:sz w:val="22"/>
          <w:u w:val="single"/>
        </w:rPr>
        <w:t>EPA has discretion to use a cost-benefit analysis in setting national performance standards for cooling water intake structures.</w:t>
      </w:r>
    </w:p>
    <w:p>
      <w:pPr>
        <w:spacing w:after="60"/>
      </w:pPr>
      <w:r>
        <w:rPr>
          <w:b w:val="0"/>
          <w:i w:val="0"/>
          <w:smallCaps w:val="0"/>
          <w:strike w:val="0"/>
          <w:sz w:val="14"/>
          <w:u w:val="none"/>
        </w:rPr>
        <w:t xml:space="preserve">The SG's filing also lists National Association of Home Builders v. Defenders of Wildlife, a 2007 holding that the ESA did not require EPA to apply additional criteria when evaluating a transfer of pollution control jurisdiction under the Clean Water Act; and PUD No. 1 of Jefferson County v. Washington Department of Ecology where the court ruled 7-2 in favor of Washington State's Clean Water Act certification </w:t>
      </w:r>
      <w:r>
        <w:rPr>
          <w:b w:val="0"/>
          <w:i w:val="0"/>
          <w:smallCaps w:val="0"/>
          <w:strike w:val="0"/>
          <w:sz w:val="22"/>
          <w:u w:val="single"/>
        </w:rPr>
        <w:t xml:space="preserve">project to impose </w:t>
      </w:r>
      <w:r>
        <w:rPr>
          <w:b/>
          <w:i w:val="0"/>
          <w:smallCaps w:val="0"/>
          <w:strike w:val="0"/>
          <w:sz w:val="22"/>
          <w:u w:val="single"/>
        </w:rPr>
        <w:t xml:space="preserve">water flow requirements to </w:t>
      </w:r>
      <w:r>
        <w:rPr>
          <w:b/>
          <w:i w:val="0"/>
          <w:smallCaps w:val="0"/>
          <w:strike w:val="0"/>
          <w:sz w:val="22"/>
          <w:highlight w:val="cyan"/>
          <w:u w:val="single"/>
        </w:rPr>
        <w:t>protect</w:t>
      </w:r>
      <w:r>
        <w:rPr>
          <w:b/>
          <w:i w:val="0"/>
          <w:smallCaps w:val="0"/>
          <w:strike w:val="0"/>
          <w:sz w:val="22"/>
          <w:u w:val="single"/>
        </w:rPr>
        <w:t xml:space="preserve"> </w:t>
      </w:r>
      <w:r>
        <w:rPr>
          <w:b/>
          <w:i w:val="0"/>
          <w:smallCaps w:val="0"/>
          <w:strike w:val="0"/>
          <w:sz w:val="22"/>
          <w:highlight w:val="cyan"/>
          <w:u w:val="single"/>
        </w:rPr>
        <w:t>salmon and steelhead</w:t>
      </w:r>
      <w:r>
        <w:rPr>
          <w:b w:val="0"/>
          <w:i w:val="0"/>
          <w:smallCaps w:val="0"/>
          <w:strike w:val="0"/>
          <w:sz w:val="14"/>
          <w:u w:val="none"/>
        </w:rPr>
        <w:t xml:space="preserve"> in 1994.</w:t>
      </w:r>
    </w:p>
    <w:p>
      <w:pPr>
        <w:spacing w:after="60"/>
      </w:pPr>
      <w:r>
        <w:rPr>
          <w:b w:val="0"/>
          <w:i w:val="0"/>
          <w:smallCaps w:val="0"/>
          <w:strike w:val="0"/>
          <w:sz w:val="14"/>
          <w:u w:val="none"/>
        </w:rPr>
        <w:t xml:space="preserve">One environmentalist cites the PUD No. 1 </w:t>
      </w:r>
      <w:r>
        <w:rPr>
          <w:b w:val="0"/>
          <w:i w:val="0"/>
          <w:smallCaps w:val="0"/>
          <w:strike w:val="0"/>
          <w:sz w:val="22"/>
          <w:u w:val="single"/>
        </w:rPr>
        <w:t xml:space="preserve">case as a prime example of why precedent is important, </w:t>
      </w:r>
      <w:r>
        <w:rPr>
          <w:b w:val="0"/>
          <w:i w:val="0"/>
          <w:smallCaps w:val="0"/>
          <w:strike w:val="0"/>
          <w:sz w:val="14"/>
          <w:u w:val="none"/>
        </w:rPr>
        <w:t>noting the Biden administration last fall finalized a rule that adhered to the broader interpretation upheld by that decision, reversing a Trump-era rule that took a narrower interpretation of state water quality certification powers.</w:t>
      </w:r>
    </w:p>
    <w:p>
      <w:pPr>
        <w:spacing w:after="60"/>
      </w:pPr>
      <w:r>
        <w:rPr>
          <w:b w:val="0"/>
          <w:i w:val="0"/>
          <w:smallCaps w:val="0"/>
          <w:strike w:val="0"/>
          <w:sz w:val="14"/>
          <w:u w:val="none"/>
        </w:rPr>
        <w:t xml:space="preserve">The Biden rule should be "upheld under the precedent set in the 1994 holding, but because it was based on Chevron," </w:t>
      </w:r>
      <w:r>
        <w:rPr>
          <w:b w:val="0"/>
          <w:i w:val="0"/>
          <w:smallCaps w:val="0"/>
          <w:strike w:val="0"/>
          <w:sz w:val="22"/>
          <w:u w:val="single"/>
        </w:rPr>
        <w:t>the outcome is murky if the court tosses the doctrine, the environmentalist notes. "This recent Biden rule and the fact that there happened to be Supreme Court authority upholding EPA's interpretation is a good example of where this problem could come up</w:t>
      </w:r>
      <w:r>
        <w:rPr>
          <w:b w:val="0"/>
          <w:i w:val="0"/>
          <w:smallCaps w:val="0"/>
          <w:strike w:val="0"/>
          <w:sz w:val="14"/>
          <w:u w:val="none"/>
        </w:rPr>
        <w:t>," the source says. Clean Air Act</w:t>
      </w:r>
    </w:p>
    <w:p>
      <w:pPr>
        <w:spacing w:after="60"/>
      </w:pPr>
      <w:r>
        <w:rPr>
          <w:b/>
          <w:i w:val="0"/>
          <w:smallCaps w:val="0"/>
          <w:strike w:val="0"/>
          <w:sz w:val="22"/>
          <w:u w:val="single"/>
        </w:rPr>
        <w:t xml:space="preserve">Any </w:t>
      </w:r>
      <w:r>
        <w:rPr>
          <w:b/>
          <w:i w:val="0"/>
          <w:smallCaps w:val="0"/>
          <w:strike w:val="0"/>
          <w:sz w:val="22"/>
          <w:highlight w:val="cyan"/>
          <w:u w:val="single"/>
        </w:rPr>
        <w:t>decision</w:t>
      </w:r>
      <w:r>
        <w:rPr>
          <w:b/>
          <w:i w:val="0"/>
          <w:smallCaps w:val="0"/>
          <w:strike w:val="0"/>
          <w:sz w:val="22"/>
          <w:u w:val="single"/>
        </w:rPr>
        <w:t xml:space="preserve"> may </w:t>
      </w:r>
      <w:r>
        <w:rPr>
          <w:b/>
          <w:i w:val="0"/>
          <w:smallCaps w:val="0"/>
          <w:strike w:val="0"/>
          <w:sz w:val="22"/>
          <w:highlight w:val="cyan"/>
          <w:u w:val="single"/>
        </w:rPr>
        <w:t>bring</w:t>
      </w:r>
      <w:r>
        <w:rPr>
          <w:b/>
          <w:i w:val="0"/>
          <w:smallCaps w:val="0"/>
          <w:strike w:val="0"/>
          <w:sz w:val="22"/>
          <w:u w:val="single"/>
        </w:rPr>
        <w:t xml:space="preserve"> specific </w:t>
      </w:r>
      <w:r>
        <w:rPr>
          <w:b/>
          <w:i w:val="0"/>
          <w:smallCaps w:val="0"/>
          <w:strike w:val="0"/>
          <w:sz w:val="22"/>
          <w:highlight w:val="cyan"/>
          <w:u w:val="single"/>
        </w:rPr>
        <w:t>peril for</w:t>
      </w:r>
      <w:r>
        <w:rPr>
          <w:b/>
          <w:i w:val="0"/>
          <w:smallCaps w:val="0"/>
          <w:strike w:val="0"/>
          <w:sz w:val="22"/>
          <w:u w:val="single"/>
        </w:rPr>
        <w:t xml:space="preserve"> a </w:t>
      </w:r>
      <w:r>
        <w:rPr>
          <w:b/>
          <w:i w:val="0"/>
          <w:smallCaps w:val="0"/>
          <w:strike w:val="0"/>
          <w:sz w:val="22"/>
          <w:highlight w:val="cyan"/>
          <w:u w:val="single"/>
        </w:rPr>
        <w:t>host</w:t>
      </w:r>
      <w:r>
        <w:rPr>
          <w:b/>
          <w:i w:val="0"/>
          <w:smallCaps w:val="0"/>
          <w:strike w:val="0"/>
          <w:sz w:val="22"/>
          <w:u w:val="single"/>
        </w:rPr>
        <w:t xml:space="preserve"> of </w:t>
      </w:r>
      <w:r>
        <w:rPr>
          <w:b/>
          <w:i w:val="0"/>
          <w:smallCaps w:val="0"/>
          <w:strike w:val="0"/>
          <w:sz w:val="22"/>
          <w:highlight w:val="cyan"/>
          <w:u w:val="single"/>
        </w:rPr>
        <w:t>C</w:t>
      </w:r>
      <w:r>
        <w:rPr>
          <w:b/>
          <w:i w:val="0"/>
          <w:smallCaps w:val="0"/>
          <w:strike w:val="0"/>
          <w:sz w:val="22"/>
          <w:u w:val="single"/>
        </w:rPr>
        <w:t>lean</w:t>
      </w:r>
      <w:r>
        <w:rPr>
          <w:b/>
          <w:i w:val="0"/>
          <w:smallCaps w:val="0"/>
          <w:strike w:val="0"/>
          <w:sz w:val="22"/>
          <w:highlight w:val="cyan"/>
          <w:u w:val="single"/>
        </w:rPr>
        <w:t xml:space="preserve"> A</w:t>
      </w:r>
      <w:r>
        <w:rPr>
          <w:b/>
          <w:i w:val="0"/>
          <w:smallCaps w:val="0"/>
          <w:strike w:val="0"/>
          <w:sz w:val="22"/>
          <w:u w:val="single"/>
        </w:rPr>
        <w:t>ir</w:t>
      </w:r>
      <w:r>
        <w:rPr>
          <w:b/>
          <w:i w:val="0"/>
          <w:smallCaps w:val="0"/>
          <w:strike w:val="0"/>
          <w:sz w:val="22"/>
          <w:highlight w:val="cyan"/>
          <w:u w:val="single"/>
        </w:rPr>
        <w:t xml:space="preserve"> A</w:t>
      </w:r>
      <w:r>
        <w:rPr>
          <w:b/>
          <w:i w:val="0"/>
          <w:smallCaps w:val="0"/>
          <w:strike w:val="0"/>
          <w:sz w:val="22"/>
          <w:u w:val="single"/>
        </w:rPr>
        <w:t>ct</w:t>
      </w:r>
      <w:r>
        <w:rPr>
          <w:b/>
          <w:i w:val="0"/>
          <w:smallCaps w:val="0"/>
          <w:strike w:val="0"/>
          <w:sz w:val="22"/>
          <w:highlight w:val="cyan"/>
          <w:u w:val="single"/>
        </w:rPr>
        <w:t xml:space="preserve"> reg</w:t>
      </w:r>
      <w:r>
        <w:rPr>
          <w:b/>
          <w:i w:val="0"/>
          <w:smallCaps w:val="0"/>
          <w:strike w:val="0"/>
          <w:sz w:val="22"/>
          <w:u w:val="single"/>
        </w:rPr>
        <w:t>ulation</w:t>
      </w:r>
      <w:r>
        <w:rPr>
          <w:b/>
          <w:i w:val="0"/>
          <w:smallCaps w:val="0"/>
          <w:strike w:val="0"/>
          <w:sz w:val="22"/>
          <w:highlight w:val="cyan"/>
          <w:u w:val="single"/>
        </w:rPr>
        <w:t>s</w:t>
      </w:r>
      <w:r>
        <w:rPr>
          <w:b w:val="0"/>
          <w:i w:val="0"/>
          <w:smallCaps w:val="0"/>
          <w:strike w:val="0"/>
          <w:sz w:val="14"/>
          <w:u w:val="none"/>
        </w:rPr>
        <w:t xml:space="preserve"> </w:t>
      </w:r>
      <w:r>
        <w:rPr>
          <w:b w:val="0"/>
          <w:i w:val="0"/>
          <w:smallCaps w:val="0"/>
          <w:strike w:val="0"/>
          <w:sz w:val="22"/>
          <w:u w:val="single"/>
        </w:rPr>
        <w:t xml:space="preserve">-- including national ambient </w:t>
      </w:r>
      <w:r>
        <w:rPr>
          <w:b w:val="0"/>
          <w:i w:val="0"/>
          <w:smallCaps w:val="0"/>
          <w:strike w:val="0"/>
          <w:sz w:val="22"/>
          <w:highlight w:val="cyan"/>
          <w:u w:val="single"/>
        </w:rPr>
        <w:t>air quality standards</w:t>
      </w:r>
      <w:r>
        <w:rPr>
          <w:b w:val="0"/>
          <w:i w:val="0"/>
          <w:smallCaps w:val="0"/>
          <w:strike w:val="0"/>
          <w:sz w:val="22"/>
          <w:u w:val="single"/>
        </w:rPr>
        <w:t xml:space="preserve">, hazardous </w:t>
      </w:r>
      <w:r>
        <w:rPr>
          <w:b w:val="0"/>
          <w:i w:val="0"/>
          <w:smallCaps w:val="0"/>
          <w:strike w:val="0"/>
          <w:sz w:val="22"/>
          <w:highlight w:val="cyan"/>
          <w:u w:val="single"/>
        </w:rPr>
        <w:t>air pollutant limits</w:t>
      </w:r>
      <w:r>
        <w:rPr>
          <w:b w:val="0"/>
          <w:i w:val="0"/>
          <w:smallCaps w:val="0"/>
          <w:strike w:val="0"/>
          <w:sz w:val="22"/>
          <w:u w:val="single"/>
        </w:rPr>
        <w:t xml:space="preserve"> and motor vehicle </w:t>
      </w:r>
      <w:r>
        <w:rPr>
          <w:b w:val="0"/>
          <w:i w:val="0"/>
          <w:smallCaps w:val="0"/>
          <w:strike w:val="0"/>
          <w:sz w:val="22"/>
          <w:highlight w:val="cyan"/>
          <w:u w:val="single"/>
        </w:rPr>
        <w:t>emission rules</w:t>
      </w:r>
      <w:r>
        <w:rPr>
          <w:b w:val="0"/>
          <w:i w:val="0"/>
          <w:smallCaps w:val="0"/>
          <w:strike w:val="0"/>
          <w:sz w:val="22"/>
          <w:u w:val="single"/>
        </w:rPr>
        <w:t xml:space="preserve"> -- should the court toss Chevron on Administrative Procedure Act (APA) grounds,</w:t>
      </w:r>
      <w:r>
        <w:rPr>
          <w:b w:val="0"/>
          <w:i w:val="0"/>
          <w:smallCaps w:val="0"/>
          <w:strike w:val="0"/>
          <w:sz w:val="14"/>
          <w:u w:val="none"/>
        </w:rPr>
        <w:t xml:space="preserve"> according to Ryan Morris, a lawyer with Workman Nydegger.</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