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is key to innovation. Provides regulatory certainty for small businesses. </w:t>
      </w:r>
    </w:p>
    <w:p>
      <w:pPr>
        <w:spacing w:after="80"/>
      </w:pPr>
      <w:r>
        <w:rPr>
          <w:b/>
          <w:i w:val="0"/>
          <w:smallCaps w:val="0"/>
          <w:strike w:val="0"/>
          <w:sz w:val="26"/>
          <w:u w:val="none"/>
        </w:rPr>
        <w:t>Dubner et al. 23</w:t>
      </w:r>
      <w:r>
        <w:rPr>
          <w:b w:val="0"/>
          <w:i w:val="0"/>
          <w:smallCaps w:val="0"/>
          <w:strike w:val="0"/>
          <w:u w:val="none"/>
        </w:rPr>
        <w:t xml:space="preserve"> [Jeffrey Dubner is a Chief Counsel at the Office of Commissioner </w:t>
      </w:r>
      <w:r>
        <w:rPr>
          <w:b w:val="0"/>
          <w:i w:val="0"/>
          <w:smallCaps w:val="0"/>
          <w:strike w:val="0"/>
          <w:u w:val="none"/>
        </w:rPr>
        <w:t>Kotagal</w:t>
      </w:r>
      <w:r>
        <w:rPr>
          <w:b w:val="0"/>
          <w:i w:val="0"/>
          <w:smallCaps w:val="0"/>
          <w:strike w:val="0"/>
          <w:u w:val="none"/>
        </w:rPr>
        <w:t xml:space="preserve">, Equal Employment Opportunity Commission, and a Legal Director at Democracy Forward Foundation, </w:t>
      </w:r>
      <w:r>
        <w:rPr>
          <w:b w:val="0"/>
          <w:i w:val="0"/>
          <w:smallCaps w:val="0"/>
          <w:strike w:val="0"/>
          <w:u w:val="none"/>
        </w:rPr>
        <w:t>, a nonpartisan, national legal organization</w:t>
      </w:r>
      <w:r>
        <w:rPr>
          <w:b w:val="0"/>
          <w:i w:val="0"/>
          <w:smallCaps w:val="0"/>
          <w:strike w:val="0"/>
          <w:u w:val="none"/>
        </w:rPr>
        <w:t>; *</w:t>
      </w:r>
      <w:r>
        <w:rPr>
          <w:b w:val="0"/>
          <w:i w:val="0"/>
          <w:smallCaps w:val="0"/>
          <w:strike w:val="0"/>
          <w:u w:val="none"/>
        </w:rPr>
        <w:t xml:space="preserve">Kaitlyn Golden </w:t>
      </w:r>
      <w:r>
        <w:rPr>
          <w:b w:val="0"/>
          <w:i w:val="0"/>
          <w:smallCaps w:val="0"/>
          <w:strike w:val="0"/>
          <w:u w:val="none"/>
        </w:rPr>
        <w:t xml:space="preserve">is a </w:t>
      </w:r>
      <w:r>
        <w:rPr>
          <w:b w:val="0"/>
          <w:i w:val="0"/>
          <w:smallCaps w:val="0"/>
          <w:strike w:val="0"/>
          <w:u w:val="none"/>
        </w:rPr>
        <w:t>Senior Counsel</w:t>
      </w:r>
      <w:r>
        <w:rPr>
          <w:b w:val="0"/>
          <w:i w:val="0"/>
          <w:smallCaps w:val="0"/>
          <w:strike w:val="0"/>
          <w:u w:val="none"/>
        </w:rPr>
        <w:t xml:space="preserve"> at Democracy Forward Foundation; **</w:t>
      </w:r>
      <w:r>
        <w:rPr>
          <w:b w:val="0"/>
          <w:i w:val="0"/>
          <w:smallCaps w:val="0"/>
          <w:strike w:val="0"/>
          <w:u w:val="none"/>
        </w:rPr>
        <w:t xml:space="preserve"> Skye Perryman</w:t>
      </w:r>
      <w:r>
        <w:rPr>
          <w:b w:val="0"/>
          <w:i w:val="0"/>
          <w:smallCaps w:val="0"/>
          <w:strike w:val="0"/>
          <w:u w:val="none"/>
        </w:rPr>
        <w:t xml:space="preserve"> is president and co-founder of Democracy Forward Foundation; On Writ of Certiorari to the United States Court of Appeals for the District of Columbia Circuit; No. 22-451; 9/22/24; “BRIEF OF SMALL BUSINESS ASSOCIATIONS AS AMICI CURIAE IN SUPPORT OF RESPONDENTS”; </w:t>
      </w:r>
      <w:r>
        <w:rPr>
          <w:b w:val="0"/>
          <w:i w:val="0"/>
          <w:smallCaps w:val="0"/>
          <w:strike w:val="0"/>
          <w:u w:val="none"/>
        </w:rPr>
        <w:t>https://www.supremecourt.gov/DocketPDF/22/22-451/280229/20230922133356720_Amicus%20Brief%20of%20Small%20Business%20Associations.pdf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II. </w:t>
      </w:r>
      <w:r>
        <w:rPr>
          <w:b w:val="0"/>
          <w:i w:val="0"/>
          <w:smallCaps w:val="0"/>
          <w:strike w:val="0"/>
          <w:sz w:val="22"/>
          <w:highlight w:val="cyan"/>
          <w:u w:val="single"/>
        </w:rPr>
        <w:t xml:space="preserve">CHEVRON </w:t>
      </w:r>
      <w:r>
        <w:rPr>
          <w:b/>
          <w:i w:val="0"/>
          <w:smallCaps w:val="0"/>
          <w:strike w:val="0"/>
          <w:sz w:val="22"/>
          <w:highlight w:val="cyan"/>
          <w:u w:val="single"/>
        </w:rPr>
        <w:t>PROMOTES</w:t>
      </w:r>
      <w:r>
        <w:rPr>
          <w:b w:val="0"/>
          <w:i w:val="0"/>
          <w:smallCaps w:val="0"/>
          <w:strike w:val="0"/>
          <w:sz w:val="16"/>
          <w:u w:val="none"/>
        </w:rPr>
        <w:t xml:space="preserve"> THE </w:t>
      </w:r>
      <w:r>
        <w:rPr>
          <w:b/>
          <w:i w:val="0"/>
          <w:smallCaps w:val="0"/>
          <w:strike w:val="0"/>
          <w:sz w:val="22"/>
          <w:u w:val="single"/>
        </w:rPr>
        <w:t xml:space="preserve">REGULATORY </w:t>
      </w:r>
      <w:r>
        <w:rPr>
          <w:b/>
          <w:i w:val="0"/>
          <w:smallCaps w:val="0"/>
          <w:strike w:val="0"/>
          <w:sz w:val="22"/>
          <w:highlight w:val="cyan"/>
          <w:u w:val="single"/>
        </w:rPr>
        <w:t>CERTAINTY</w:t>
      </w:r>
      <w:r>
        <w:rPr>
          <w:b w:val="0"/>
          <w:i w:val="0"/>
          <w:smallCaps w:val="0"/>
          <w:strike w:val="0"/>
          <w:sz w:val="22"/>
          <w:u w:val="single"/>
        </w:rPr>
        <w:t xml:space="preserve"> NECESSARY </w:t>
      </w:r>
      <w:r>
        <w:rPr>
          <w:b w:val="0"/>
          <w:i w:val="0"/>
          <w:smallCaps w:val="0"/>
          <w:strike w:val="0"/>
          <w:sz w:val="22"/>
          <w:highlight w:val="cyan"/>
          <w:u w:val="single"/>
        </w:rPr>
        <w:t xml:space="preserve">FOR </w:t>
      </w:r>
      <w:r>
        <w:rPr>
          <w:b/>
          <w:i w:val="0"/>
          <w:smallCaps w:val="0"/>
          <w:strike w:val="0"/>
          <w:sz w:val="22"/>
          <w:highlight w:val="cyan"/>
          <w:u w:val="single"/>
        </w:rPr>
        <w:t>SMALL BUSINESSES</w:t>
      </w:r>
      <w:r>
        <w:rPr>
          <w:b w:val="0"/>
          <w:i w:val="0"/>
          <w:smallCaps w:val="0"/>
          <w:strike w:val="0"/>
          <w:sz w:val="16"/>
          <w:u w:val="none"/>
        </w:rPr>
        <w:t>.</w:t>
      </w:r>
    </w:p>
    <w:p>
      <w:pPr>
        <w:spacing w:after="60"/>
      </w:pPr>
      <w:r>
        <w:rPr>
          <w:b w:val="0"/>
          <w:i w:val="0"/>
          <w:smallCaps w:val="0"/>
          <w:strike w:val="0"/>
          <w:sz w:val="16"/>
          <w:u w:val="none"/>
        </w:rPr>
        <w:t xml:space="preserve">This Court has recognized the “stabilizing purpose of Chevron.” City of Arlington, Tex. v. F.C.C., 569 U.S. 290, 307 (2013). Chevron provides a predictable framework for interpreting regulations, </w:t>
      </w:r>
      <w:r>
        <w:rPr>
          <w:b w:val="0"/>
          <w:i w:val="0"/>
          <w:smallCaps w:val="0"/>
          <w:strike w:val="0"/>
          <w:sz w:val="22"/>
          <w:u w:val="single"/>
        </w:rPr>
        <w:t>giving deference to agency decisions in the face of ambiguity</w:t>
      </w:r>
      <w:r>
        <w:rPr>
          <w:b w:val="0"/>
          <w:i w:val="0"/>
          <w:smallCaps w:val="0"/>
          <w:strike w:val="0"/>
          <w:sz w:val="16"/>
          <w:u w:val="none"/>
        </w:rPr>
        <w:t xml:space="preserve"> and therefore </w:t>
      </w:r>
      <w:r>
        <w:rPr>
          <w:b w:val="0"/>
          <w:i w:val="0"/>
          <w:smallCaps w:val="0"/>
          <w:strike w:val="0"/>
          <w:sz w:val="22"/>
          <w:u w:val="single"/>
        </w:rPr>
        <w:t xml:space="preserve">allowing businesses to better rely on regulations and </w:t>
      </w:r>
      <w:r>
        <w:rPr>
          <w:b w:val="0"/>
          <w:i w:val="0"/>
          <w:smallCaps w:val="0"/>
          <w:strike w:val="0"/>
          <w:sz w:val="22"/>
          <w:u w:val="single"/>
        </w:rPr>
        <w:t>plan for the future</w:t>
      </w:r>
      <w:r>
        <w:rPr>
          <w:b w:val="0"/>
          <w:i w:val="0"/>
          <w:smallCaps w:val="0"/>
          <w:strike w:val="0"/>
          <w:sz w:val="16"/>
          <w:u w:val="none"/>
        </w:rPr>
        <w:t xml:space="preserve">. </w:t>
      </w:r>
      <w:r>
        <w:rPr>
          <w:b w:val="0"/>
          <w:i w:val="0"/>
          <w:smallCaps w:val="0"/>
          <w:strike w:val="0"/>
          <w:sz w:val="22"/>
          <w:u w:val="single"/>
        </w:rPr>
        <w:t>Chevron</w:t>
      </w:r>
      <w:r>
        <w:rPr>
          <w:b w:val="0"/>
          <w:i w:val="0"/>
          <w:smallCaps w:val="0"/>
          <w:strike w:val="0"/>
          <w:sz w:val="16"/>
          <w:u w:val="none"/>
        </w:rPr>
        <w:t xml:space="preserve"> also </w:t>
      </w:r>
      <w:r>
        <w:rPr>
          <w:b w:val="0"/>
          <w:i w:val="0"/>
          <w:smallCaps w:val="0"/>
          <w:strike w:val="0"/>
          <w:sz w:val="22"/>
          <w:u w:val="single"/>
        </w:rPr>
        <w:t xml:space="preserve">promotes the </w:t>
      </w:r>
      <w:r>
        <w:rPr>
          <w:b/>
          <w:i w:val="0"/>
          <w:smallCaps w:val="0"/>
          <w:strike w:val="0"/>
          <w:sz w:val="22"/>
          <w:u w:val="single"/>
        </w:rPr>
        <w:t>rule of law</w:t>
      </w:r>
      <w:r>
        <w:rPr>
          <w:b w:val="0"/>
          <w:i w:val="0"/>
          <w:smallCaps w:val="0"/>
          <w:strike w:val="0"/>
          <w:sz w:val="22"/>
          <w:u w:val="single"/>
        </w:rPr>
        <w:t xml:space="preserve"> by serving as a check on judicial power</w:t>
      </w:r>
      <w:r>
        <w:rPr>
          <w:b w:val="0"/>
          <w:i w:val="0"/>
          <w:smallCaps w:val="0"/>
          <w:strike w:val="0"/>
          <w:sz w:val="16"/>
          <w:u w:val="none"/>
        </w:rPr>
        <w:t xml:space="preserve">. Chevron </w:t>
      </w:r>
      <w:r>
        <w:rPr>
          <w:b w:val="0"/>
          <w:i w:val="0"/>
          <w:smallCaps w:val="0"/>
          <w:strike w:val="0"/>
          <w:sz w:val="16"/>
          <w:u w:val="none"/>
        </w:rPr>
        <w:t>deference has been shown to curb the judiciary from imposing its own ideological or policy-driven perspectives when interpreting regulations</w:t>
      </w:r>
      <w:r>
        <w:rPr>
          <w:b w:val="0"/>
          <w:i w:val="0"/>
          <w:smallCaps w:val="0"/>
          <w:strike w:val="0"/>
          <w:sz w:val="16"/>
          <w:u w:val="none"/>
        </w:rPr>
        <w:t xml:space="preserve">. Both create more stability in the regulatory environment, stability that is of critical importance for small businesses. </w:t>
      </w:r>
      <w:r>
        <w:rPr>
          <w:b w:val="0"/>
          <w:i w:val="0"/>
          <w:smallCaps w:val="0"/>
          <w:strike w:val="0"/>
          <w:sz w:val="22"/>
          <w:highlight w:val="cyan"/>
          <w:u w:val="single"/>
        </w:rPr>
        <w:t>Removing</w:t>
      </w:r>
      <w:r>
        <w:rPr>
          <w:b w:val="0"/>
          <w:i w:val="0"/>
          <w:smallCaps w:val="0"/>
          <w:strike w:val="0"/>
          <w:sz w:val="22"/>
          <w:u w:val="single"/>
        </w:rPr>
        <w:t xml:space="preserve"> this framework </w:t>
      </w:r>
      <w:r>
        <w:rPr>
          <w:b w:val="0"/>
          <w:i w:val="0"/>
          <w:smallCaps w:val="0"/>
          <w:strike w:val="0"/>
          <w:sz w:val="22"/>
          <w:highlight w:val="cyan"/>
          <w:u w:val="single"/>
        </w:rPr>
        <w:t>will set off</w:t>
      </w:r>
      <w:r>
        <w:rPr>
          <w:b w:val="0"/>
          <w:i w:val="0"/>
          <w:smallCaps w:val="0"/>
          <w:strike w:val="0"/>
          <w:sz w:val="22"/>
          <w:u w:val="single"/>
        </w:rPr>
        <w:t xml:space="preserve"> a </w:t>
      </w:r>
      <w:r>
        <w:rPr>
          <w:b/>
          <w:i w:val="0"/>
          <w:smallCaps w:val="0"/>
          <w:strike w:val="0"/>
          <w:sz w:val="22"/>
          <w:u w:val="single"/>
        </w:rPr>
        <w:t>cascade</w:t>
      </w:r>
      <w:r>
        <w:rPr>
          <w:b w:val="0"/>
          <w:i w:val="0"/>
          <w:smallCaps w:val="0"/>
          <w:strike w:val="0"/>
          <w:sz w:val="22"/>
          <w:u w:val="single"/>
        </w:rPr>
        <w:t xml:space="preserve"> of </w:t>
      </w:r>
      <w:r>
        <w:rPr>
          <w:b/>
          <w:i w:val="0"/>
          <w:smallCaps w:val="0"/>
          <w:strike w:val="0"/>
          <w:sz w:val="22"/>
          <w:highlight w:val="cyan"/>
          <w:u w:val="single"/>
        </w:rPr>
        <w:t>consequences</w:t>
      </w:r>
      <w:r>
        <w:rPr>
          <w:b w:val="0"/>
          <w:i w:val="0"/>
          <w:smallCaps w:val="0"/>
          <w:strike w:val="0"/>
          <w:sz w:val="22"/>
          <w:highlight w:val="cyan"/>
          <w:u w:val="single"/>
        </w:rPr>
        <w:t xml:space="preserve"> that</w:t>
      </w:r>
      <w:r>
        <w:rPr>
          <w:b w:val="0"/>
          <w:i w:val="0"/>
          <w:smallCaps w:val="0"/>
          <w:strike w:val="0"/>
          <w:sz w:val="16"/>
          <w:u w:val="none"/>
        </w:rPr>
        <w:t xml:space="preserve"> will </w:t>
      </w:r>
      <w:r>
        <w:rPr>
          <w:b/>
          <w:i w:val="0"/>
          <w:smallCaps w:val="0"/>
          <w:strike w:val="0"/>
          <w:sz w:val="22"/>
          <w:u w:val="single"/>
        </w:rPr>
        <w:t>harm small businesses</w:t>
      </w:r>
      <w:r>
        <w:rPr>
          <w:b w:val="0"/>
          <w:i w:val="0"/>
          <w:smallCaps w:val="0"/>
          <w:strike w:val="0"/>
          <w:sz w:val="16"/>
          <w:u w:val="none"/>
        </w:rPr>
        <w:t xml:space="preserve">, </w:t>
      </w:r>
      <w:r>
        <w:rPr>
          <w:b/>
          <w:i w:val="0"/>
          <w:smallCaps w:val="0"/>
          <w:strike w:val="0"/>
          <w:sz w:val="22"/>
          <w:highlight w:val="cyan"/>
          <w:u w:val="single"/>
        </w:rPr>
        <w:t>stifle innovation</w:t>
      </w:r>
      <w:r>
        <w:rPr>
          <w:b w:val="0"/>
          <w:i w:val="0"/>
          <w:smallCaps w:val="0"/>
          <w:strike w:val="0"/>
          <w:sz w:val="16"/>
          <w:u w:val="none"/>
        </w:rPr>
        <w:t xml:space="preserve">, </w:t>
      </w:r>
      <w:r>
        <w:rPr>
          <w:b w:val="0"/>
          <w:i w:val="0"/>
          <w:smallCaps w:val="0"/>
          <w:strike w:val="0"/>
          <w:sz w:val="22"/>
          <w:u w:val="single"/>
        </w:rPr>
        <w:t>and undermine progress towards a more equitable economy</w:t>
      </w:r>
      <w:r>
        <w:rPr>
          <w:b w:val="0"/>
          <w:i w:val="0"/>
          <w:smallCaps w:val="0"/>
          <w:strike w:val="0"/>
          <w:sz w:val="16"/>
          <w:u w:val="none"/>
        </w:rPr>
        <w:t xml:space="preserve">. </w:t>
      </w:r>
      <w:r>
        <w:rPr>
          <w:b w:val="0"/>
          <w:i w:val="0"/>
          <w:smallCaps w:val="0"/>
          <w:strike w:val="0"/>
          <w:sz w:val="22"/>
          <w:u w:val="single"/>
        </w:rPr>
        <w:t>Small businesses</w:t>
      </w:r>
      <w:r>
        <w:rPr>
          <w:b w:val="0"/>
          <w:i w:val="0"/>
          <w:smallCaps w:val="0"/>
          <w:strike w:val="0"/>
          <w:sz w:val="16"/>
          <w:u w:val="none"/>
        </w:rPr>
        <w:t xml:space="preserve"> must </w:t>
      </w:r>
      <w:r>
        <w:rPr>
          <w:b/>
          <w:i w:val="0"/>
          <w:smallCaps w:val="0"/>
          <w:strike w:val="0"/>
          <w:sz w:val="22"/>
          <w:u w:val="single"/>
        </w:rPr>
        <w:t>already</w:t>
      </w:r>
      <w:r>
        <w:rPr>
          <w:b w:val="0"/>
          <w:i w:val="0"/>
          <w:smallCaps w:val="0"/>
          <w:strike w:val="0"/>
          <w:sz w:val="22"/>
          <w:u w:val="single"/>
        </w:rPr>
        <w:t xml:space="preserve"> navigate a</w:t>
      </w:r>
      <w:r>
        <w:rPr>
          <w:b w:val="0"/>
          <w:i w:val="0"/>
          <w:smallCaps w:val="0"/>
          <w:strike w:val="0"/>
          <w:sz w:val="16"/>
          <w:u w:val="none"/>
        </w:rPr>
        <w:t xml:space="preserve"> dynamic and </w:t>
      </w:r>
      <w:r>
        <w:rPr>
          <w:b/>
          <w:i w:val="0"/>
          <w:smallCaps w:val="0"/>
          <w:strike w:val="0"/>
          <w:sz w:val="22"/>
          <w:u w:val="single"/>
        </w:rPr>
        <w:t>uncertain</w:t>
      </w:r>
      <w:r>
        <w:rPr>
          <w:b w:val="0"/>
          <w:i w:val="0"/>
          <w:smallCaps w:val="0"/>
          <w:strike w:val="0"/>
          <w:sz w:val="22"/>
          <w:u w:val="single"/>
        </w:rPr>
        <w:t xml:space="preserve"> environment without being subject to the regulatory instability</w:t>
      </w:r>
      <w:r>
        <w:rPr>
          <w:b w:val="0"/>
          <w:i w:val="0"/>
          <w:smallCaps w:val="0"/>
          <w:strike w:val="0"/>
          <w:sz w:val="16"/>
          <w:u w:val="none"/>
        </w:rPr>
        <w:t xml:space="preserve"> that would ensue </w:t>
      </w:r>
      <w:r>
        <w:rPr>
          <w:b w:val="0"/>
          <w:i w:val="0"/>
          <w:smallCaps w:val="0"/>
          <w:strike w:val="0"/>
          <w:sz w:val="22"/>
          <w:u w:val="single"/>
        </w:rPr>
        <w:t>if Chevron were overturned</w:t>
      </w:r>
      <w:r>
        <w:rPr>
          <w:b w:val="0"/>
          <w:i w:val="0"/>
          <w:smallCaps w:val="0"/>
          <w:strike w:val="0"/>
          <w:sz w:val="16"/>
          <w:u w:val="none"/>
        </w:rPr>
        <w:t>.</w:t>
      </w:r>
    </w:p>
    <w:p>
      <w:pPr>
        <w:spacing w:after="60"/>
      </w:pPr>
      <w:r>
        <w:rPr>
          <w:b w:val="0"/>
          <w:i w:val="0"/>
          <w:smallCaps w:val="0"/>
          <w:strike w:val="0"/>
          <w:sz w:val="16"/>
          <w:u w:val="none"/>
        </w:rPr>
        <w:t>1. For nearly 40 years, Chevron has provided a consistent framework for court interpretation of regulations, resulting in a more uniform and predictable interpretation of regulations across time and geography.</w:t>
      </w:r>
    </w:p>
    <w:p>
      <w:pPr>
        <w:spacing w:after="60"/>
      </w:pPr>
      <w:r>
        <w:rPr>
          <w:b w:val="0"/>
          <w:i w:val="0"/>
          <w:smallCaps w:val="0"/>
          <w:strike w:val="0"/>
          <w:sz w:val="22"/>
          <w:u w:val="single"/>
        </w:rPr>
        <w:t>Prior to Chevron</w:t>
      </w:r>
      <w:r>
        <w:rPr>
          <w:b w:val="0"/>
          <w:i w:val="0"/>
          <w:smallCaps w:val="0"/>
          <w:strike w:val="0"/>
          <w:sz w:val="16"/>
          <w:u w:val="none"/>
        </w:rPr>
        <w:t xml:space="preserve">, </w:t>
      </w:r>
      <w:r>
        <w:rPr>
          <w:b w:val="0"/>
          <w:i w:val="0"/>
          <w:smallCaps w:val="0"/>
          <w:strike w:val="0"/>
          <w:sz w:val="22"/>
          <w:u w:val="single"/>
        </w:rPr>
        <w:t>courts engaged in statute-by-statute evaluation of agency interpretations</w:t>
      </w:r>
      <w:r>
        <w:rPr>
          <w:b w:val="0"/>
          <w:i w:val="0"/>
          <w:smallCaps w:val="0"/>
          <w:strike w:val="0"/>
          <w:sz w:val="16"/>
          <w:u w:val="none"/>
        </w:rPr>
        <w:t>—a “font of uncertainty and litigation.”22 Federal courts provided some deference to agency interpretations. However, questions on the degree of deference that should be “given by courts to an agency’s interpretation of a statute produced a large number of statutory interpretation opinions that defy easy reconciliation.”23</w:t>
      </w:r>
    </w:p>
    <w:p>
      <w:pPr>
        <w:spacing w:after="60"/>
      </w:pPr>
      <w:r>
        <w:rPr>
          <w:b w:val="0"/>
          <w:i w:val="0"/>
          <w:smallCaps w:val="0"/>
          <w:strike w:val="0"/>
          <w:sz w:val="16"/>
          <w:u w:val="none"/>
        </w:rPr>
        <w:t xml:space="preserve">This Court’s decision in </w:t>
      </w:r>
      <w:r>
        <w:rPr>
          <w:b w:val="0"/>
          <w:i w:val="0"/>
          <w:smallCaps w:val="0"/>
          <w:strike w:val="0"/>
          <w:sz w:val="22"/>
          <w:u w:val="single"/>
        </w:rPr>
        <w:t>Chevron resolved that inconsistency</w:t>
      </w:r>
      <w:r>
        <w:rPr>
          <w:b w:val="0"/>
          <w:i w:val="0"/>
          <w:smallCaps w:val="0"/>
          <w:strike w:val="0"/>
          <w:sz w:val="16"/>
          <w:u w:val="none"/>
        </w:rPr>
        <w:t>. By recognizing that “ambiguity in a statute” represents a legislative intent to “</w:t>
      </w:r>
      <w:r>
        <w:rPr>
          <w:b w:val="0"/>
          <w:i w:val="0"/>
          <w:smallCaps w:val="0"/>
          <w:strike w:val="0"/>
          <w:sz w:val="16"/>
          <w:u w:val="none"/>
        </w:rPr>
        <w:t>confer[</w:t>
      </w:r>
      <w:r>
        <w:rPr>
          <w:b w:val="0"/>
          <w:i w:val="0"/>
          <w:smallCaps w:val="0"/>
          <w:strike w:val="0"/>
          <w:sz w:val="16"/>
          <w:u w:val="none"/>
        </w:rPr>
        <w:t xml:space="preserve">] discretion upon the agency,” </w:t>
      </w:r>
      <w:r>
        <w:rPr>
          <w:b w:val="0"/>
          <w:i w:val="0"/>
          <w:smallCaps w:val="0"/>
          <w:strike w:val="0"/>
          <w:sz w:val="22"/>
          <w:u w:val="single"/>
        </w:rPr>
        <w:t>the Court ensured that all federal courts would apply the same framework for</w:t>
      </w:r>
      <w:r>
        <w:rPr>
          <w:b w:val="0"/>
          <w:i w:val="0"/>
          <w:smallCaps w:val="0"/>
          <w:strike w:val="0"/>
          <w:sz w:val="16"/>
          <w:u w:val="none"/>
        </w:rPr>
        <w:t xml:space="preserve"> evaluating and </w:t>
      </w:r>
      <w:r>
        <w:rPr>
          <w:b w:val="0"/>
          <w:i w:val="0"/>
          <w:smallCaps w:val="0"/>
          <w:strike w:val="0"/>
          <w:sz w:val="22"/>
          <w:u w:val="single"/>
        </w:rPr>
        <w:t>determining whether to defer to regulations</w:t>
      </w:r>
      <w:r>
        <w:rPr>
          <w:b w:val="0"/>
          <w:i w:val="0"/>
          <w:smallCaps w:val="0"/>
          <w:strike w:val="0"/>
          <w:sz w:val="16"/>
          <w:u w:val="none"/>
        </w:rPr>
        <w:t xml:space="preserve">.24 This framework has governed for nearly 40 years. </w:t>
      </w:r>
      <w:r>
        <w:rPr>
          <w:b w:val="0"/>
          <w:i w:val="0"/>
          <w:smallCaps w:val="0"/>
          <w:strike w:val="0"/>
          <w:sz w:val="22"/>
          <w:u w:val="single"/>
        </w:rPr>
        <w:t>Since its imposition</w:t>
      </w:r>
      <w:r>
        <w:rPr>
          <w:b w:val="0"/>
          <w:i w:val="0"/>
          <w:smallCaps w:val="0"/>
          <w:strike w:val="0"/>
          <w:sz w:val="16"/>
          <w:u w:val="none"/>
        </w:rPr>
        <w:t xml:space="preserve">, regulated entities—including </w:t>
      </w:r>
      <w:r>
        <w:rPr>
          <w:b w:val="0"/>
          <w:i w:val="0"/>
          <w:smallCaps w:val="0"/>
          <w:strike w:val="0"/>
          <w:sz w:val="22"/>
          <w:highlight w:val="cyan"/>
          <w:u w:val="single"/>
        </w:rPr>
        <w:t>small businesses</w:t>
      </w:r>
      <w:r>
        <w:rPr>
          <w:b w:val="0"/>
          <w:i w:val="0"/>
          <w:smallCaps w:val="0"/>
          <w:strike w:val="0"/>
          <w:sz w:val="16"/>
          <w:u w:val="none"/>
        </w:rPr>
        <w:t>—</w:t>
      </w:r>
      <w:r>
        <w:rPr>
          <w:b w:val="0"/>
          <w:i w:val="0"/>
          <w:smallCaps w:val="0"/>
          <w:strike w:val="0"/>
          <w:sz w:val="22"/>
          <w:u w:val="single"/>
        </w:rPr>
        <w:t xml:space="preserve">have been </w:t>
      </w:r>
      <w:r>
        <w:rPr>
          <w:b w:val="0"/>
          <w:i w:val="0"/>
          <w:smallCaps w:val="0"/>
          <w:strike w:val="0"/>
          <w:sz w:val="22"/>
          <w:highlight w:val="cyan"/>
          <w:u w:val="single"/>
        </w:rPr>
        <w:t>able to</w:t>
      </w:r>
      <w:r>
        <w:rPr>
          <w:b w:val="0"/>
          <w:i w:val="0"/>
          <w:smallCaps w:val="0"/>
          <w:strike w:val="0"/>
          <w:sz w:val="16"/>
          <w:u w:val="none"/>
        </w:rPr>
        <w:t xml:space="preserve"> justifiably </w:t>
      </w:r>
      <w:r>
        <w:rPr>
          <w:b w:val="0"/>
          <w:i w:val="0"/>
          <w:smallCaps w:val="0"/>
          <w:strike w:val="0"/>
          <w:sz w:val="22"/>
          <w:highlight w:val="cyan"/>
          <w:u w:val="single"/>
        </w:rPr>
        <w:t>rely on a</w:t>
      </w:r>
      <w:r>
        <w:rPr>
          <w:b w:val="0"/>
          <w:i w:val="0"/>
          <w:smallCaps w:val="0"/>
          <w:strike w:val="0"/>
          <w:sz w:val="22"/>
          <w:u w:val="single"/>
        </w:rPr>
        <w:t xml:space="preserve"> predictable </w:t>
      </w:r>
      <w:r>
        <w:rPr>
          <w:b w:val="0"/>
          <w:i w:val="0"/>
          <w:smallCaps w:val="0"/>
          <w:strike w:val="0"/>
          <w:sz w:val="22"/>
          <w:highlight w:val="cyan"/>
          <w:u w:val="single"/>
        </w:rPr>
        <w:t>structure in which courts</w:t>
      </w:r>
      <w:r>
        <w:rPr>
          <w:b w:val="0"/>
          <w:i w:val="0"/>
          <w:smallCaps w:val="0"/>
          <w:strike w:val="0"/>
          <w:sz w:val="22"/>
          <w:u w:val="single"/>
        </w:rPr>
        <w:t xml:space="preserve"> will </w:t>
      </w:r>
      <w:r>
        <w:rPr>
          <w:b w:val="0"/>
          <w:i w:val="0"/>
          <w:smallCaps w:val="0"/>
          <w:strike w:val="0"/>
          <w:sz w:val="22"/>
          <w:highlight w:val="cyan"/>
          <w:u w:val="single"/>
        </w:rPr>
        <w:t>interpret</w:t>
      </w:r>
      <w:r>
        <w:rPr>
          <w:b w:val="0"/>
          <w:i w:val="0"/>
          <w:smallCaps w:val="0"/>
          <w:strike w:val="0"/>
          <w:sz w:val="22"/>
          <w:u w:val="single"/>
        </w:rPr>
        <w:t xml:space="preserve"> federal </w:t>
      </w:r>
      <w:r>
        <w:rPr>
          <w:b w:val="0"/>
          <w:i w:val="0"/>
          <w:smallCaps w:val="0"/>
          <w:strike w:val="0"/>
          <w:sz w:val="22"/>
          <w:highlight w:val="cyan"/>
          <w:u w:val="single"/>
        </w:rPr>
        <w:t>regulations</w:t>
      </w:r>
      <w:r>
        <w:rPr>
          <w:b w:val="0"/>
          <w:i w:val="0"/>
          <w:smallCaps w:val="0"/>
          <w:strike w:val="0"/>
          <w:sz w:val="16"/>
          <w:u w:val="none"/>
        </w:rPr>
        <w:t xml:space="preserve"> when ordering their affairs, </w:t>
      </w:r>
      <w:r>
        <w:rPr>
          <w:b w:val="0"/>
          <w:i w:val="0"/>
          <w:smallCaps w:val="0"/>
          <w:strike w:val="0"/>
          <w:sz w:val="22"/>
          <w:highlight w:val="cyan"/>
          <w:u w:val="single"/>
        </w:rPr>
        <w:t>rather than being subject to</w:t>
      </w:r>
      <w:r>
        <w:rPr>
          <w:b w:val="0"/>
          <w:i w:val="0"/>
          <w:smallCaps w:val="0"/>
          <w:strike w:val="0"/>
          <w:sz w:val="22"/>
          <w:u w:val="single"/>
        </w:rPr>
        <w:t xml:space="preserve"> the </w:t>
      </w:r>
      <w:r>
        <w:rPr>
          <w:b w:val="0"/>
          <w:i w:val="0"/>
          <w:smallCaps w:val="0"/>
          <w:strike w:val="0"/>
          <w:sz w:val="22"/>
          <w:highlight w:val="cyan"/>
          <w:u w:val="single"/>
        </w:rPr>
        <w:t>whiplash</w:t>
      </w:r>
      <w:r>
        <w:rPr>
          <w:b w:val="0"/>
          <w:i w:val="0"/>
          <w:smallCaps w:val="0"/>
          <w:strike w:val="0"/>
          <w:sz w:val="22"/>
          <w:u w:val="single"/>
        </w:rPr>
        <w:t xml:space="preserve"> of unpredictable litigation and court decisions.</w:t>
      </w:r>
      <w:r>
        <w:rPr>
          <w:b w:val="0"/>
          <w:i w:val="0"/>
          <w:smallCaps w:val="0"/>
          <w:strike w:val="0"/>
          <w:sz w:val="16"/>
          <w:u w:val="none"/>
        </w:rPr>
        <w:t xml:space="preserve"> It is reasonable for a business to assume that a regulation imposing a workplace safety standard will continue to apply five years down the line, knowing that in any legal challenge, a court would be instructed to rely on this reasonable interpretation in the face of ambiguity.</w:t>
      </w:r>
    </w:p>
    <w:p>
      <w:pPr>
        <w:spacing w:after="60"/>
      </w:pPr>
      <w:r>
        <w:rPr>
          <w:b w:val="0"/>
          <w:i w:val="0"/>
          <w:smallCaps w:val="0"/>
          <w:strike w:val="0"/>
          <w:sz w:val="22"/>
          <w:u w:val="single"/>
        </w:rPr>
        <w:t>Petitioners’</w:t>
      </w:r>
      <w:r>
        <w:rPr>
          <w:b w:val="0"/>
          <w:i w:val="0"/>
          <w:smallCaps w:val="0"/>
          <w:strike w:val="0"/>
          <w:sz w:val="16"/>
          <w:u w:val="none"/>
        </w:rPr>
        <w:t xml:space="preserve"> amici </w:t>
      </w:r>
      <w:r>
        <w:rPr>
          <w:b w:val="0"/>
          <w:i w:val="0"/>
          <w:smallCaps w:val="0"/>
          <w:strike w:val="0"/>
          <w:sz w:val="22"/>
          <w:u w:val="single"/>
        </w:rPr>
        <w:t xml:space="preserve">suggest that </w:t>
      </w:r>
      <w:r>
        <w:rPr>
          <w:b w:val="0"/>
          <w:i w:val="0"/>
          <w:smallCaps w:val="0"/>
          <w:strike w:val="0"/>
          <w:sz w:val="22"/>
          <w:u w:val="single"/>
        </w:rPr>
        <w:t xml:space="preserve">Chevron does </w:t>
      </w:r>
      <w:r>
        <w:rPr>
          <w:b/>
          <w:i w:val="0"/>
          <w:smallCaps w:val="0"/>
          <w:strike w:val="0"/>
          <w:sz w:val="22"/>
          <w:u w:val="single"/>
        </w:rPr>
        <w:t>not</w:t>
      </w:r>
      <w:r>
        <w:rPr>
          <w:b w:val="0"/>
          <w:i w:val="0"/>
          <w:smallCaps w:val="0"/>
          <w:strike w:val="0"/>
          <w:sz w:val="22"/>
          <w:u w:val="single"/>
        </w:rPr>
        <w:t xml:space="preserve"> engender </w:t>
      </w:r>
      <w:r>
        <w:rPr>
          <w:b/>
          <w:i w:val="0"/>
          <w:smallCaps w:val="0"/>
          <w:strike w:val="0"/>
          <w:sz w:val="22"/>
          <w:u w:val="single"/>
        </w:rPr>
        <w:t>predictability</w:t>
      </w:r>
      <w:r>
        <w:rPr>
          <w:b w:val="0"/>
          <w:i w:val="0"/>
          <w:smallCaps w:val="0"/>
          <w:strike w:val="0"/>
          <w:sz w:val="16"/>
          <w:u w:val="none"/>
        </w:rPr>
        <w:t xml:space="preserve">, </w:t>
      </w:r>
      <w:r>
        <w:rPr>
          <w:b w:val="0"/>
          <w:i w:val="0"/>
          <w:smallCaps w:val="0"/>
          <w:strike w:val="0"/>
          <w:sz w:val="22"/>
          <w:u w:val="single"/>
        </w:rPr>
        <w:t>as agencies</w:t>
      </w:r>
      <w:r>
        <w:rPr>
          <w:b w:val="0"/>
          <w:i w:val="0"/>
          <w:smallCaps w:val="0"/>
          <w:strike w:val="0"/>
          <w:sz w:val="16"/>
          <w:u w:val="none"/>
        </w:rPr>
        <w:t xml:space="preserve"> can </w:t>
      </w:r>
      <w:r>
        <w:rPr>
          <w:b w:val="0"/>
          <w:i w:val="0"/>
          <w:smallCaps w:val="0"/>
          <w:strike w:val="0"/>
          <w:sz w:val="22"/>
          <w:u w:val="single"/>
        </w:rPr>
        <w:t>change their interpretation</w:t>
      </w:r>
      <w:r>
        <w:rPr>
          <w:b w:val="0"/>
          <w:i w:val="0"/>
          <w:smallCaps w:val="0"/>
          <w:strike w:val="0"/>
          <w:sz w:val="16"/>
          <w:u w:val="none"/>
        </w:rPr>
        <w:t xml:space="preserve"> of an ambiguous statute.25 </w:t>
      </w:r>
      <w:r>
        <w:rPr>
          <w:b w:val="0"/>
          <w:i w:val="0"/>
          <w:smallCaps w:val="0"/>
          <w:strike w:val="0"/>
          <w:sz w:val="22"/>
          <w:u w:val="single"/>
        </w:rPr>
        <w:t xml:space="preserve">This </w:t>
      </w:r>
      <w:r>
        <w:rPr>
          <w:b/>
          <w:i w:val="0"/>
          <w:smallCaps w:val="0"/>
          <w:strike w:val="0"/>
          <w:sz w:val="22"/>
          <w:u w:val="single"/>
        </w:rPr>
        <w:t>misunderstands</w:t>
      </w:r>
      <w:r>
        <w:rPr>
          <w:b w:val="0"/>
          <w:i w:val="0"/>
          <w:smallCaps w:val="0"/>
          <w:strike w:val="0"/>
          <w:sz w:val="22"/>
          <w:u w:val="single"/>
        </w:rPr>
        <w:t xml:space="preserve"> what is meant by</w:t>
      </w:r>
      <w:r>
        <w:rPr>
          <w:b w:val="0"/>
          <w:i w:val="0"/>
          <w:smallCaps w:val="0"/>
          <w:strike w:val="0"/>
          <w:sz w:val="16"/>
          <w:u w:val="none"/>
        </w:rPr>
        <w:t xml:space="preserve"> “</w:t>
      </w:r>
      <w:r>
        <w:rPr>
          <w:b w:val="0"/>
          <w:i w:val="0"/>
          <w:smallCaps w:val="0"/>
          <w:strike w:val="0"/>
          <w:sz w:val="22"/>
          <w:u w:val="single"/>
        </w:rPr>
        <w:t>predictability</w:t>
      </w:r>
      <w:r>
        <w:rPr>
          <w:b w:val="0"/>
          <w:i w:val="0"/>
          <w:smallCaps w:val="0"/>
          <w:strike w:val="0"/>
          <w:sz w:val="16"/>
          <w:u w:val="none"/>
        </w:rPr>
        <w:t xml:space="preserve">.” </w:t>
      </w:r>
      <w:r>
        <w:rPr>
          <w:b w:val="0"/>
          <w:i w:val="0"/>
          <w:smallCaps w:val="0"/>
          <w:strike w:val="0"/>
          <w:sz w:val="22"/>
          <w:highlight w:val="cyan"/>
          <w:u w:val="single"/>
        </w:rPr>
        <w:t xml:space="preserve">To </w:t>
      </w:r>
      <w:r>
        <w:rPr>
          <w:b/>
          <w:i w:val="0"/>
          <w:smallCaps w:val="0"/>
          <w:strike w:val="0"/>
          <w:sz w:val="22"/>
          <w:highlight w:val="cyan"/>
          <w:u w:val="single"/>
        </w:rPr>
        <w:t>alter</w:t>
      </w:r>
      <w:r>
        <w:rPr>
          <w:b w:val="0"/>
          <w:i w:val="0"/>
          <w:smallCaps w:val="0"/>
          <w:strike w:val="0"/>
          <w:sz w:val="22"/>
          <w:highlight w:val="cyan"/>
          <w:u w:val="single"/>
        </w:rPr>
        <w:t xml:space="preserve"> a preexisting</w:t>
      </w:r>
      <w:r>
        <w:rPr>
          <w:b w:val="0"/>
          <w:i w:val="0"/>
          <w:smallCaps w:val="0"/>
          <w:strike w:val="0"/>
          <w:sz w:val="22"/>
          <w:u w:val="single"/>
        </w:rPr>
        <w:t xml:space="preserve"> regulatory </w:t>
      </w:r>
      <w:r>
        <w:rPr>
          <w:b w:val="0"/>
          <w:i w:val="0"/>
          <w:smallCaps w:val="0"/>
          <w:strike w:val="0"/>
          <w:sz w:val="22"/>
          <w:highlight w:val="cyan"/>
          <w:u w:val="single"/>
        </w:rPr>
        <w:t>interp</w:t>
      </w:r>
      <w:r>
        <w:rPr>
          <w:b w:val="0"/>
          <w:i w:val="0"/>
          <w:smallCaps w:val="0"/>
          <w:strike w:val="0"/>
          <w:sz w:val="22"/>
          <w:u w:val="single"/>
        </w:rPr>
        <w:t>retation</w:t>
      </w:r>
      <w:r>
        <w:rPr>
          <w:b w:val="0"/>
          <w:i w:val="0"/>
          <w:smallCaps w:val="0"/>
          <w:strike w:val="0"/>
          <w:sz w:val="16"/>
          <w:u w:val="none"/>
        </w:rPr>
        <w:t xml:space="preserve">, </w:t>
      </w:r>
      <w:r>
        <w:rPr>
          <w:b w:val="0"/>
          <w:i w:val="0"/>
          <w:smallCaps w:val="0"/>
          <w:strike w:val="0"/>
          <w:sz w:val="22"/>
          <w:highlight w:val="cyan"/>
          <w:u w:val="single"/>
        </w:rPr>
        <w:t>an agency is required to</w:t>
      </w:r>
      <w:r>
        <w:rPr>
          <w:b w:val="0"/>
          <w:i w:val="0"/>
          <w:smallCaps w:val="0"/>
          <w:strike w:val="0"/>
          <w:sz w:val="16"/>
          <w:u w:val="none"/>
        </w:rPr>
        <w:t xml:space="preserve"> commence and </w:t>
      </w:r>
      <w:r>
        <w:rPr>
          <w:b w:val="0"/>
          <w:i w:val="0"/>
          <w:smallCaps w:val="0"/>
          <w:strike w:val="0"/>
          <w:sz w:val="22"/>
          <w:highlight w:val="cyan"/>
          <w:u w:val="single"/>
        </w:rPr>
        <w:t xml:space="preserve">complete </w:t>
      </w:r>
      <w:r>
        <w:rPr>
          <w:b/>
          <w:i w:val="0"/>
          <w:smallCaps w:val="0"/>
          <w:strike w:val="0"/>
          <w:sz w:val="22"/>
          <w:highlight w:val="cyan"/>
          <w:u w:val="single"/>
        </w:rPr>
        <w:t>notice-and-comment</w:t>
      </w:r>
      <w:r>
        <w:rPr>
          <w:b w:val="0"/>
          <w:i w:val="0"/>
          <w:smallCaps w:val="0"/>
          <w:strike w:val="0"/>
          <w:sz w:val="22"/>
          <w:u w:val="single"/>
        </w:rPr>
        <w:t xml:space="preserve"> </w:t>
      </w:r>
      <w:r>
        <w:rPr>
          <w:b w:val="0"/>
          <w:i w:val="0"/>
          <w:smallCaps w:val="0"/>
          <w:strike w:val="0"/>
          <w:sz w:val="22"/>
          <w:u w:val="single"/>
        </w:rPr>
        <w:t>rulemaking</w:t>
      </w:r>
      <w:r>
        <w:rPr>
          <w:b w:val="0"/>
          <w:i w:val="0"/>
          <w:smallCaps w:val="0"/>
          <w:strike w:val="0"/>
          <w:sz w:val="16"/>
          <w:u w:val="none"/>
        </w:rPr>
        <w:t xml:space="preserve">. This is no small feat. </w:t>
      </w:r>
      <w:r>
        <w:rPr>
          <w:b w:val="0"/>
          <w:i w:val="0"/>
          <w:smallCaps w:val="0"/>
          <w:strike w:val="0"/>
          <w:sz w:val="22"/>
          <w:u w:val="single"/>
        </w:rPr>
        <w:t>Agencies are required to give affected parties</w:t>
      </w:r>
      <w:r>
        <w:rPr>
          <w:b w:val="0"/>
          <w:i w:val="0"/>
          <w:smallCaps w:val="0"/>
          <w:strike w:val="0"/>
          <w:sz w:val="16"/>
          <w:u w:val="none"/>
        </w:rPr>
        <w:t xml:space="preserve">— including interested small businesses and groups— </w:t>
      </w:r>
      <w:r>
        <w:rPr>
          <w:b w:val="0"/>
          <w:i w:val="0"/>
          <w:smallCaps w:val="0"/>
          <w:strike w:val="0"/>
          <w:sz w:val="22"/>
          <w:u w:val="single"/>
        </w:rPr>
        <w:t xml:space="preserve">an opportunity to provide </w:t>
      </w:r>
      <w:r>
        <w:rPr>
          <w:b w:val="0"/>
          <w:i w:val="0"/>
          <w:smallCaps w:val="0"/>
          <w:strike w:val="0"/>
          <w:sz w:val="22"/>
          <w:u w:val="single"/>
        </w:rPr>
        <w:t>comment</w:t>
      </w:r>
      <w:r>
        <w:rPr>
          <w:b w:val="0"/>
          <w:i w:val="0"/>
          <w:smallCaps w:val="0"/>
          <w:strike w:val="0"/>
          <w:sz w:val="16"/>
          <w:u w:val="none"/>
        </w:rPr>
        <w:t xml:space="preserve">. </w:t>
      </w:r>
      <w:r>
        <w:rPr>
          <w:b w:val="0"/>
          <w:i w:val="0"/>
          <w:smallCaps w:val="0"/>
          <w:strike w:val="0"/>
          <w:sz w:val="22"/>
          <w:u w:val="single"/>
        </w:rPr>
        <w:t xml:space="preserve">Small businesses are afforded </w:t>
      </w:r>
      <w:r>
        <w:rPr>
          <w:b/>
          <w:i w:val="0"/>
          <w:smallCaps w:val="0"/>
          <w:strike w:val="0"/>
          <w:sz w:val="22"/>
          <w:u w:val="single"/>
        </w:rPr>
        <w:t>special protections</w:t>
      </w:r>
      <w:r>
        <w:rPr>
          <w:b w:val="0"/>
          <w:i w:val="0"/>
          <w:smallCaps w:val="0"/>
          <w:strike w:val="0"/>
          <w:sz w:val="22"/>
          <w:u w:val="single"/>
        </w:rPr>
        <w:t xml:space="preserve"> during notice and c</w:t>
      </w:r>
      <w:r>
        <w:rPr>
          <w:b w:val="0"/>
          <w:i w:val="0"/>
          <w:smallCaps w:val="0"/>
          <w:strike w:val="0"/>
          <w:sz w:val="22"/>
          <w:u w:val="single"/>
        </w:rPr>
        <w:t>omment</w:t>
      </w:r>
      <w:r>
        <w:rPr>
          <w:b w:val="0"/>
          <w:i w:val="0"/>
          <w:smallCaps w:val="0"/>
          <w:strike w:val="0"/>
          <w:sz w:val="22"/>
          <w:u w:val="single"/>
        </w:rPr>
        <w:t xml:space="preserve"> rulemaking</w:t>
      </w:r>
      <w:r>
        <w:rPr>
          <w:b w:val="0"/>
          <w:i w:val="0"/>
          <w:smallCaps w:val="0"/>
          <w:strike w:val="0"/>
          <w:sz w:val="16"/>
          <w:u w:val="none"/>
        </w:rPr>
        <w:t xml:space="preserve">. Pursuant to the Small Business Regulatory Enforcement Fairness Act (SBREFA) of 1996, </w:t>
      </w:r>
      <w:r>
        <w:rPr>
          <w:b w:val="0"/>
          <w:i w:val="0"/>
          <w:smallCaps w:val="0"/>
          <w:strike w:val="0"/>
          <w:sz w:val="22"/>
          <w:u w:val="single"/>
        </w:rPr>
        <w:t xml:space="preserve">certain </w:t>
      </w:r>
      <w:r>
        <w:rPr>
          <w:b w:val="0"/>
          <w:i w:val="0"/>
          <w:smallCaps w:val="0"/>
          <w:strike w:val="0"/>
          <w:sz w:val="22"/>
          <w:highlight w:val="cyan"/>
          <w:u w:val="single"/>
        </w:rPr>
        <w:t>agencies are required to meet with</w:t>
      </w:r>
      <w:r>
        <w:rPr>
          <w:b w:val="0"/>
          <w:i w:val="0"/>
          <w:smallCaps w:val="0"/>
          <w:strike w:val="0"/>
          <w:sz w:val="22"/>
          <w:u w:val="single"/>
        </w:rPr>
        <w:t xml:space="preserve"> impacted </w:t>
      </w:r>
      <w:r>
        <w:rPr>
          <w:b w:val="0"/>
          <w:i w:val="0"/>
          <w:smallCaps w:val="0"/>
          <w:strike w:val="0"/>
          <w:sz w:val="22"/>
          <w:highlight w:val="cyan"/>
          <w:u w:val="single"/>
        </w:rPr>
        <w:t>small businesses</w:t>
      </w:r>
      <w:r>
        <w:rPr>
          <w:b w:val="0"/>
          <w:i w:val="0"/>
          <w:smallCaps w:val="0"/>
          <w:strike w:val="0"/>
          <w:sz w:val="22"/>
          <w:u w:val="single"/>
        </w:rPr>
        <w:t xml:space="preserve"> prior to proposing rules</w:t>
      </w:r>
      <w:r>
        <w:rPr>
          <w:b w:val="0"/>
          <w:i w:val="0"/>
          <w:smallCaps w:val="0"/>
          <w:strike w:val="0"/>
          <w:sz w:val="16"/>
          <w:u w:val="none"/>
        </w:rPr>
        <w:t xml:space="preserve"> that</w:t>
      </w:r>
      <w:r>
        <w:rPr>
          <w:b w:val="0"/>
          <w:i w:val="0"/>
          <w:smallCaps w:val="0"/>
          <w:strike w:val="0"/>
          <w:sz w:val="16"/>
          <w:u w:val="none"/>
        </w:rPr>
        <w:t xml:space="preserve"> would have a significant economic impact on a substantial number of small entities.26 </w:t>
      </w:r>
      <w:r>
        <w:rPr>
          <w:b w:val="0"/>
          <w:i w:val="0"/>
          <w:smallCaps w:val="0"/>
          <w:strike w:val="0"/>
          <w:sz w:val="22"/>
          <w:highlight w:val="cyan"/>
          <w:u w:val="single"/>
        </w:rPr>
        <w:t>This</w:t>
      </w:r>
      <w:r>
        <w:rPr>
          <w:b w:val="0"/>
          <w:i w:val="0"/>
          <w:smallCaps w:val="0"/>
          <w:strike w:val="0"/>
          <w:sz w:val="22"/>
          <w:u w:val="single"/>
        </w:rPr>
        <w:t xml:space="preserve"> process </w:t>
      </w:r>
      <w:r>
        <w:rPr>
          <w:b w:val="0"/>
          <w:i w:val="0"/>
          <w:smallCaps w:val="0"/>
          <w:strike w:val="0"/>
          <w:sz w:val="22"/>
          <w:highlight w:val="cyan"/>
          <w:u w:val="single"/>
        </w:rPr>
        <w:t>allows small businesses to weigh in</w:t>
      </w:r>
      <w:r>
        <w:rPr>
          <w:b w:val="0"/>
          <w:i w:val="0"/>
          <w:smallCaps w:val="0"/>
          <w:strike w:val="0"/>
          <w:sz w:val="16"/>
          <w:u w:val="none"/>
        </w:rPr>
        <w:t>—</w:t>
      </w:r>
      <w:r>
        <w:rPr>
          <w:b/>
          <w:i w:val="0"/>
          <w:smallCaps w:val="0"/>
          <w:strike w:val="0"/>
          <w:sz w:val="22"/>
          <w:u w:val="single"/>
        </w:rPr>
        <w:t>in advance</w:t>
      </w:r>
      <w:r>
        <w:rPr>
          <w:b w:val="0"/>
          <w:i w:val="0"/>
          <w:smallCaps w:val="0"/>
          <w:strike w:val="0"/>
          <w:sz w:val="16"/>
          <w:u w:val="none"/>
        </w:rPr>
        <w:t>—</w:t>
      </w:r>
      <w:r>
        <w:rPr>
          <w:b w:val="0"/>
          <w:i w:val="0"/>
          <w:smallCaps w:val="0"/>
          <w:strike w:val="0"/>
          <w:sz w:val="22"/>
          <w:highlight w:val="cyan"/>
          <w:u w:val="single"/>
        </w:rPr>
        <w:t>on ways that agencies can ease</w:t>
      </w:r>
      <w:r>
        <w:rPr>
          <w:b w:val="0"/>
          <w:i w:val="0"/>
          <w:smallCaps w:val="0"/>
          <w:strike w:val="0"/>
          <w:sz w:val="22"/>
          <w:u w:val="single"/>
        </w:rPr>
        <w:t xml:space="preserve"> any regulatory </w:t>
      </w:r>
      <w:r>
        <w:rPr>
          <w:b w:val="0"/>
          <w:i w:val="0"/>
          <w:smallCaps w:val="0"/>
          <w:strike w:val="0"/>
          <w:sz w:val="22"/>
          <w:highlight w:val="cyan"/>
          <w:u w:val="single"/>
        </w:rPr>
        <w:t>burden</w:t>
      </w:r>
      <w:r>
        <w:rPr>
          <w:b w:val="0"/>
          <w:i w:val="0"/>
          <w:smallCaps w:val="0"/>
          <w:strike w:val="0"/>
          <w:sz w:val="16"/>
          <w:u w:val="none"/>
        </w:rPr>
        <w:t>, as well as to describe reliance interests that should be accorded consideration.</w:t>
      </w:r>
    </w:p>
    <w:p>
      <w:pPr>
        <w:spacing w:after="60"/>
      </w:pPr>
      <w:r>
        <w:rPr>
          <w:b w:val="0"/>
          <w:i w:val="0"/>
          <w:smallCaps w:val="0"/>
          <w:strike w:val="0"/>
          <w:sz w:val="22"/>
          <w:u w:val="single"/>
        </w:rPr>
        <w:t xml:space="preserve">Formal </w:t>
      </w:r>
      <w:r>
        <w:rPr>
          <w:b w:val="0"/>
          <w:i w:val="0"/>
          <w:smallCaps w:val="0"/>
          <w:strike w:val="0"/>
          <w:sz w:val="22"/>
          <w:u w:val="single"/>
        </w:rPr>
        <w:t>rulemaking</w:t>
      </w:r>
      <w:r>
        <w:rPr>
          <w:b w:val="0"/>
          <w:i w:val="0"/>
          <w:smallCaps w:val="0"/>
          <w:strike w:val="0"/>
          <w:sz w:val="16"/>
          <w:u w:val="none"/>
        </w:rPr>
        <w:t xml:space="preserve"> also </w:t>
      </w:r>
      <w:r>
        <w:rPr>
          <w:b w:val="0"/>
          <w:i w:val="0"/>
          <w:smallCaps w:val="0"/>
          <w:strike w:val="0"/>
          <w:sz w:val="22"/>
          <w:u w:val="single"/>
        </w:rPr>
        <w:t>takes time</w:t>
      </w:r>
      <w:r>
        <w:rPr>
          <w:b w:val="0"/>
          <w:i w:val="0"/>
          <w:smallCaps w:val="0"/>
          <w:strike w:val="0"/>
          <w:sz w:val="16"/>
          <w:u w:val="none"/>
        </w:rPr>
        <w:t xml:space="preserve">. One study estimated that </w:t>
      </w:r>
      <w:r>
        <w:rPr>
          <w:b w:val="0"/>
          <w:i w:val="0"/>
          <w:smallCaps w:val="0"/>
          <w:strike w:val="0"/>
          <w:sz w:val="22"/>
          <w:u w:val="single"/>
        </w:rPr>
        <w:t>the average length of time</w:t>
      </w:r>
      <w:r>
        <w:rPr>
          <w:b w:val="0"/>
          <w:i w:val="0"/>
          <w:smallCaps w:val="0"/>
          <w:strike w:val="0"/>
          <w:sz w:val="16"/>
          <w:u w:val="none"/>
        </w:rPr>
        <w:t xml:space="preserve"> necessary to complete a rulemaking </w:t>
      </w:r>
      <w:r>
        <w:rPr>
          <w:b w:val="0"/>
          <w:i w:val="0"/>
          <w:smallCaps w:val="0"/>
          <w:strike w:val="0"/>
          <w:sz w:val="22"/>
          <w:u w:val="single"/>
        </w:rPr>
        <w:t>was four years</w:t>
      </w:r>
      <w:r>
        <w:rPr>
          <w:b w:val="0"/>
          <w:i w:val="0"/>
          <w:smallCaps w:val="0"/>
          <w:strike w:val="0"/>
          <w:sz w:val="16"/>
          <w:u w:val="none"/>
        </w:rPr>
        <w:t xml:space="preserve">, with a range of one to 14 years.27 So </w:t>
      </w:r>
      <w:r>
        <w:rPr>
          <w:b w:val="0"/>
          <w:i w:val="0"/>
          <w:smallCaps w:val="0"/>
          <w:strike w:val="0"/>
          <w:sz w:val="22"/>
          <w:u w:val="single"/>
        </w:rPr>
        <w:t>there is rarely a concern that small businesses will be jolted by sudden regulatory change</w:t>
      </w:r>
      <w:r>
        <w:rPr>
          <w:b w:val="0"/>
          <w:i w:val="0"/>
          <w:smallCaps w:val="0"/>
          <w:strike w:val="0"/>
          <w:sz w:val="16"/>
          <w:u w:val="none"/>
        </w:rPr>
        <w:t>.</w:t>
      </w:r>
    </w:p>
    <w:p>
      <w:pPr>
        <w:spacing w:after="60"/>
      </w:pPr>
      <w:r>
        <w:rPr>
          <w:b/>
          <w:i w:val="0"/>
          <w:smallCaps w:val="0"/>
          <w:strike w:val="0"/>
          <w:sz w:val="22"/>
          <w:highlight w:val="cyan"/>
          <w:u w:val="single"/>
        </w:rPr>
        <w:t>No such protection</w:t>
      </w:r>
      <w:r>
        <w:rPr>
          <w:b w:val="0"/>
          <w:i w:val="0"/>
          <w:smallCaps w:val="0"/>
          <w:strike w:val="0"/>
          <w:sz w:val="16"/>
          <w:u w:val="none"/>
        </w:rPr>
        <w:t xml:space="preserve"> and process are </w:t>
      </w:r>
      <w:r>
        <w:rPr>
          <w:b w:val="0"/>
          <w:i w:val="0"/>
          <w:smallCaps w:val="0"/>
          <w:strike w:val="0"/>
          <w:sz w:val="22"/>
          <w:highlight w:val="cyan"/>
          <w:u w:val="single"/>
        </w:rPr>
        <w:t xml:space="preserve">afforded with </w:t>
      </w:r>
      <w:r>
        <w:rPr>
          <w:b/>
          <w:i w:val="0"/>
          <w:smallCaps w:val="0"/>
          <w:strike w:val="0"/>
          <w:sz w:val="22"/>
          <w:highlight w:val="cyan"/>
          <w:u w:val="single"/>
        </w:rPr>
        <w:t>unconstrained</w:t>
      </w:r>
      <w:r>
        <w:rPr>
          <w:b/>
          <w:i w:val="0"/>
          <w:smallCaps w:val="0"/>
          <w:strike w:val="0"/>
          <w:sz w:val="22"/>
          <w:u w:val="single"/>
        </w:rPr>
        <w:t xml:space="preserve"> judicial </w:t>
      </w:r>
      <w:r>
        <w:rPr>
          <w:b/>
          <w:i w:val="0"/>
          <w:smallCaps w:val="0"/>
          <w:strike w:val="0"/>
          <w:sz w:val="22"/>
          <w:highlight w:val="cyan"/>
          <w:u w:val="single"/>
        </w:rPr>
        <w:t>review</w:t>
      </w:r>
      <w:r>
        <w:rPr>
          <w:b w:val="0"/>
          <w:i w:val="0"/>
          <w:smallCaps w:val="0"/>
          <w:strike w:val="0"/>
          <w:sz w:val="16"/>
          <w:u w:val="none"/>
        </w:rPr>
        <w:t xml:space="preserve">. Under a regime </w:t>
      </w:r>
      <w:r>
        <w:rPr>
          <w:b w:val="0"/>
          <w:i w:val="0"/>
          <w:smallCaps w:val="0"/>
          <w:strike w:val="0"/>
          <w:sz w:val="22"/>
          <w:u w:val="single"/>
        </w:rPr>
        <w:t>without Chevron</w:t>
      </w:r>
      <w:r>
        <w:rPr>
          <w:b w:val="0"/>
          <w:i w:val="0"/>
          <w:smallCaps w:val="0"/>
          <w:strike w:val="0"/>
          <w:sz w:val="16"/>
          <w:u w:val="none"/>
        </w:rPr>
        <w:t xml:space="preserve"> deference, </w:t>
      </w:r>
      <w:r>
        <w:rPr>
          <w:b w:val="0"/>
          <w:i w:val="0"/>
          <w:smallCaps w:val="0"/>
          <w:strike w:val="0"/>
          <w:sz w:val="22"/>
          <w:u w:val="single"/>
        </w:rPr>
        <w:t>the regulatory landscape</w:t>
      </w:r>
      <w:r>
        <w:rPr>
          <w:b w:val="0"/>
          <w:i w:val="0"/>
          <w:smallCaps w:val="0"/>
          <w:strike w:val="0"/>
          <w:sz w:val="16"/>
          <w:u w:val="none"/>
        </w:rPr>
        <w:t xml:space="preserve"> could—and </w:t>
      </w:r>
      <w:r>
        <w:rPr>
          <w:b w:val="0"/>
          <w:i w:val="0"/>
          <w:smallCaps w:val="0"/>
          <w:strike w:val="0"/>
          <w:sz w:val="22"/>
          <w:u w:val="single"/>
        </w:rPr>
        <w:t>will</w:t>
      </w:r>
      <w:r>
        <w:rPr>
          <w:b w:val="0"/>
          <w:i w:val="0"/>
          <w:smallCaps w:val="0"/>
          <w:strike w:val="0"/>
          <w:sz w:val="16"/>
          <w:u w:val="none"/>
        </w:rPr>
        <w:t>—</w:t>
      </w:r>
      <w:r>
        <w:rPr>
          <w:b w:val="0"/>
          <w:i w:val="0"/>
          <w:smallCaps w:val="0"/>
          <w:strike w:val="0"/>
          <w:sz w:val="22"/>
          <w:u w:val="single"/>
        </w:rPr>
        <w:t xml:space="preserve">change </w:t>
      </w:r>
      <w:r>
        <w:rPr>
          <w:b/>
          <w:i w:val="0"/>
          <w:smallCaps w:val="0"/>
          <w:strike w:val="0"/>
          <w:sz w:val="22"/>
          <w:u w:val="single"/>
        </w:rPr>
        <w:t>overnight</w:t>
      </w:r>
      <w:r>
        <w:rPr>
          <w:b w:val="0"/>
          <w:i w:val="0"/>
          <w:smallCaps w:val="0"/>
          <w:strike w:val="0"/>
          <w:sz w:val="22"/>
          <w:u w:val="single"/>
        </w:rPr>
        <w:t xml:space="preserve"> at</w:t>
      </w:r>
      <w:r>
        <w:rPr>
          <w:b w:val="0"/>
          <w:i w:val="0"/>
          <w:smallCaps w:val="0"/>
          <w:strike w:val="0"/>
          <w:sz w:val="16"/>
          <w:u w:val="none"/>
        </w:rPr>
        <w:t xml:space="preserve"> almost </w:t>
      </w:r>
      <w:r>
        <w:rPr>
          <w:b/>
          <w:i w:val="0"/>
          <w:smallCaps w:val="0"/>
          <w:strike w:val="0"/>
          <w:sz w:val="22"/>
          <w:u w:val="single"/>
        </w:rPr>
        <w:t>any time</w:t>
      </w:r>
      <w:r>
        <w:rPr>
          <w:b w:val="0"/>
          <w:i w:val="0"/>
          <w:smallCaps w:val="0"/>
          <w:strike w:val="0"/>
          <w:sz w:val="22"/>
          <w:u w:val="single"/>
        </w:rPr>
        <w:t xml:space="preserve"> due to a new interpretation by a </w:t>
      </w:r>
      <w:r>
        <w:rPr>
          <w:b/>
          <w:i w:val="0"/>
          <w:smallCaps w:val="0"/>
          <w:strike w:val="0"/>
          <w:sz w:val="22"/>
          <w:u w:val="single"/>
        </w:rPr>
        <w:t>single</w:t>
      </w:r>
      <w:r>
        <w:rPr>
          <w:b w:val="0"/>
          <w:i w:val="0"/>
          <w:smallCaps w:val="0"/>
          <w:strike w:val="0"/>
          <w:sz w:val="22"/>
          <w:u w:val="single"/>
        </w:rPr>
        <w:t xml:space="preserve"> court</w:t>
      </w:r>
      <w:r>
        <w:rPr>
          <w:b w:val="0"/>
          <w:i w:val="0"/>
          <w:smallCaps w:val="0"/>
          <w:strike w:val="0"/>
          <w:sz w:val="16"/>
          <w:u w:val="none"/>
        </w:rPr>
        <w:t>. This would be particularly burdensome on small businesses, which do not have the resources to monitor all 107 federal courts for every pending lawsuit that could impact their business, much less participate in such cases. Without Chevron, small businesses would face untenable uncertainty.</w:t>
      </w:r>
    </w:p>
    <w:p>
      <w:pPr>
        <w:spacing w:after="60"/>
      </w:pPr>
      <w:r>
        <w:rPr>
          <w:b w:val="0"/>
          <w:i w:val="0"/>
          <w:smallCaps w:val="0"/>
          <w:strike w:val="0"/>
          <w:sz w:val="22"/>
          <w:highlight w:val="cyan"/>
          <w:u w:val="single"/>
        </w:rPr>
        <w:t>Chevron</w:t>
      </w:r>
      <w:r>
        <w:rPr>
          <w:b w:val="0"/>
          <w:i w:val="0"/>
          <w:smallCaps w:val="0"/>
          <w:strike w:val="0"/>
          <w:sz w:val="16"/>
          <w:u w:val="none"/>
        </w:rPr>
        <w:t xml:space="preserve"> likewise </w:t>
      </w:r>
      <w:r>
        <w:rPr>
          <w:b w:val="0"/>
          <w:i w:val="0"/>
          <w:smallCaps w:val="0"/>
          <w:strike w:val="0"/>
          <w:sz w:val="22"/>
          <w:highlight w:val="cyan"/>
          <w:u w:val="single"/>
        </w:rPr>
        <w:t>encourages</w:t>
      </w:r>
      <w:r>
        <w:rPr>
          <w:b w:val="0"/>
          <w:i w:val="0"/>
          <w:smallCaps w:val="0"/>
          <w:strike w:val="0"/>
          <w:sz w:val="16"/>
          <w:u w:val="none"/>
        </w:rPr>
        <w:t xml:space="preserve"> the </w:t>
      </w:r>
      <w:r>
        <w:rPr>
          <w:b w:val="0"/>
          <w:i w:val="0"/>
          <w:smallCaps w:val="0"/>
          <w:strike w:val="0"/>
          <w:sz w:val="22"/>
          <w:highlight w:val="cyan"/>
          <w:u w:val="single"/>
        </w:rPr>
        <w:t>uniform interp</w:t>
      </w:r>
      <w:r>
        <w:rPr>
          <w:b w:val="0"/>
          <w:i w:val="0"/>
          <w:smallCaps w:val="0"/>
          <w:strike w:val="0"/>
          <w:sz w:val="22"/>
          <w:u w:val="single"/>
        </w:rPr>
        <w:t>retation of federal regulations across</w:t>
      </w:r>
      <w:r>
        <w:rPr>
          <w:b w:val="0"/>
          <w:i w:val="0"/>
          <w:smallCaps w:val="0"/>
          <w:strike w:val="0"/>
          <w:sz w:val="16"/>
          <w:u w:val="none"/>
        </w:rPr>
        <w:t xml:space="preserve"> each of </w:t>
      </w:r>
      <w:r>
        <w:rPr>
          <w:b w:val="0"/>
          <w:i w:val="0"/>
          <w:smallCaps w:val="0"/>
          <w:strike w:val="0"/>
          <w:sz w:val="22"/>
          <w:u w:val="single"/>
        </w:rPr>
        <w:t>the 13 federal courts of appeal and the 94 federal district courts</w:t>
      </w:r>
      <w:r>
        <w:rPr>
          <w:b w:val="0"/>
          <w:i w:val="0"/>
          <w:smallCaps w:val="0"/>
          <w:strike w:val="0"/>
          <w:sz w:val="16"/>
          <w:u w:val="none"/>
        </w:rPr>
        <w:t xml:space="preserve">. </w:t>
      </w:r>
      <w:r>
        <w:rPr>
          <w:b w:val="0"/>
          <w:i w:val="0"/>
          <w:smallCaps w:val="0"/>
          <w:strike w:val="0"/>
          <w:sz w:val="22"/>
          <w:highlight w:val="cyan"/>
          <w:u w:val="single"/>
        </w:rPr>
        <w:t>By constraining</w:t>
      </w:r>
      <w:r>
        <w:rPr>
          <w:b w:val="0"/>
          <w:i w:val="0"/>
          <w:smallCaps w:val="0"/>
          <w:strike w:val="0"/>
          <w:sz w:val="22"/>
          <w:u w:val="single"/>
        </w:rPr>
        <w:t xml:space="preserve"> the federal </w:t>
      </w:r>
      <w:r>
        <w:rPr>
          <w:b w:val="0"/>
          <w:i w:val="0"/>
          <w:smallCaps w:val="0"/>
          <w:strike w:val="0"/>
          <w:sz w:val="22"/>
          <w:highlight w:val="cyan"/>
          <w:u w:val="single"/>
        </w:rPr>
        <w:t>courts</w:t>
      </w:r>
      <w:r>
        <w:rPr>
          <w:b w:val="0"/>
          <w:i w:val="0"/>
          <w:smallCaps w:val="0"/>
          <w:strike w:val="0"/>
          <w:sz w:val="16"/>
          <w:u w:val="none"/>
        </w:rPr>
        <w:t xml:space="preserve">, it ensures that </w:t>
      </w:r>
      <w:r>
        <w:rPr>
          <w:b w:val="0"/>
          <w:i w:val="0"/>
          <w:smallCaps w:val="0"/>
          <w:strike w:val="0"/>
          <w:sz w:val="22"/>
          <w:u w:val="single"/>
        </w:rPr>
        <w:t>judges are likely to reach similar conclusions as to the reasonableness of a regulation</w:t>
      </w:r>
      <w:r>
        <w:rPr>
          <w:b w:val="0"/>
          <w:i w:val="0"/>
          <w:smallCaps w:val="0"/>
          <w:strike w:val="0"/>
          <w:sz w:val="16"/>
          <w:u w:val="none"/>
        </w:rPr>
        <w:t xml:space="preserve"> </w:t>
      </w:r>
      <w:r>
        <w:rPr>
          <w:b w:val="0"/>
          <w:i w:val="0"/>
          <w:smallCaps w:val="0"/>
          <w:strike w:val="0"/>
          <w:sz w:val="16"/>
          <w:u w:val="none"/>
        </w:rPr>
        <w:t>regardless of their location.28 Without it, regulated entities might be subject to one interpretation of a federal regulation in Mississippi and another in Maine.29 This is particularly problematic given this Court’s “practical inability in most cases to give its own precise renditions of statutory meaning,” which “virtually assures that circuit readings will be diverse</w:t>
      </w:r>
      <w:r>
        <w:rPr>
          <w:b w:val="0"/>
          <w:i w:val="0"/>
          <w:smallCaps w:val="0"/>
          <w:strike w:val="0"/>
          <w:sz w:val="16"/>
          <w:u w:val="none"/>
        </w:rPr>
        <w:t xml:space="preserve">.”30 </w:t>
      </w:r>
      <w:r>
        <w:rPr>
          <w:b w:val="0"/>
          <w:i w:val="0"/>
          <w:smallCaps w:val="0"/>
          <w:strike w:val="0"/>
          <w:sz w:val="22"/>
          <w:highlight w:val="cyan"/>
          <w:u w:val="single"/>
        </w:rPr>
        <w:t>Thirteen Courts of Appeals applying different standards</w:t>
      </w:r>
      <w:r>
        <w:rPr>
          <w:b w:val="0"/>
          <w:i w:val="0"/>
          <w:smallCaps w:val="0"/>
          <w:strike w:val="0"/>
          <w:sz w:val="16"/>
          <w:u w:val="none"/>
        </w:rPr>
        <w:t xml:space="preserve"> “</w:t>
      </w:r>
      <w:r>
        <w:rPr>
          <w:b w:val="0"/>
          <w:i w:val="0"/>
          <w:smallCaps w:val="0"/>
          <w:strike w:val="0"/>
          <w:sz w:val="22"/>
          <w:u w:val="single"/>
        </w:rPr>
        <w:t xml:space="preserve">would </w:t>
      </w:r>
      <w:r>
        <w:rPr>
          <w:b w:val="0"/>
          <w:i w:val="0"/>
          <w:smallCaps w:val="0"/>
          <w:strike w:val="0"/>
          <w:sz w:val="22"/>
          <w:highlight w:val="cyan"/>
          <w:u w:val="single"/>
        </w:rPr>
        <w:t>render</w:t>
      </w:r>
      <w:r>
        <w:rPr>
          <w:b w:val="0"/>
          <w:i w:val="0"/>
          <w:smallCaps w:val="0"/>
          <w:strike w:val="0"/>
          <w:sz w:val="22"/>
          <w:u w:val="single"/>
        </w:rPr>
        <w:t xml:space="preserve"> the </w:t>
      </w:r>
      <w:r>
        <w:rPr>
          <w:b w:val="0"/>
          <w:i w:val="0"/>
          <w:smallCaps w:val="0"/>
          <w:strike w:val="0"/>
          <w:sz w:val="22"/>
          <w:highlight w:val="cyan"/>
          <w:u w:val="single"/>
        </w:rPr>
        <w:t>binding</w:t>
      </w:r>
      <w:r>
        <w:rPr>
          <w:b w:val="0"/>
          <w:i w:val="0"/>
          <w:smallCaps w:val="0"/>
          <w:strike w:val="0"/>
          <w:sz w:val="22"/>
          <w:u w:val="single"/>
        </w:rPr>
        <w:t xml:space="preserve"> effect of agency </w:t>
      </w:r>
      <w:r>
        <w:rPr>
          <w:b w:val="0"/>
          <w:i w:val="0"/>
          <w:smallCaps w:val="0"/>
          <w:strike w:val="0"/>
          <w:sz w:val="22"/>
          <w:highlight w:val="cyan"/>
          <w:u w:val="single"/>
        </w:rPr>
        <w:t xml:space="preserve">rules </w:t>
      </w:r>
      <w:r>
        <w:rPr>
          <w:b/>
          <w:i w:val="0"/>
          <w:smallCaps w:val="0"/>
          <w:strike w:val="0"/>
          <w:sz w:val="22"/>
          <w:highlight w:val="cyan"/>
          <w:u w:val="single"/>
        </w:rPr>
        <w:t>unpredictable</w:t>
      </w:r>
      <w:r>
        <w:rPr>
          <w:b w:val="0"/>
          <w:i w:val="0"/>
          <w:smallCaps w:val="0"/>
          <w:strike w:val="0"/>
          <w:sz w:val="22"/>
          <w:u w:val="single"/>
        </w:rPr>
        <w:t xml:space="preserve"> and destroy the</w:t>
      </w:r>
      <w:r>
        <w:rPr>
          <w:b w:val="0"/>
          <w:i w:val="0"/>
          <w:smallCaps w:val="0"/>
          <w:strike w:val="0"/>
          <w:sz w:val="16"/>
          <w:u w:val="none"/>
        </w:rPr>
        <w:t xml:space="preserve"> whole </w:t>
      </w:r>
      <w:r>
        <w:rPr>
          <w:b w:val="0"/>
          <w:i w:val="0"/>
          <w:smallCaps w:val="0"/>
          <w:strike w:val="0"/>
          <w:sz w:val="22"/>
          <w:u w:val="single"/>
        </w:rPr>
        <w:t>stabilizing purpose of Chevron</w:t>
      </w:r>
      <w:r>
        <w:rPr>
          <w:b w:val="0"/>
          <w:i w:val="0"/>
          <w:smallCaps w:val="0"/>
          <w:strike w:val="0"/>
          <w:sz w:val="16"/>
          <w:u w:val="none"/>
        </w:rPr>
        <w:t>.” City of Arlington, Tex., 569 U.S. at 307.</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