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Chevron </w:t>
      </w:r>
      <w:r>
        <w:rPr>
          <w:b/>
          <w:i w:val="0"/>
          <w:smallCaps w:val="0"/>
          <w:strike w:val="0"/>
          <w:sz w:val="26"/>
          <w:u w:val="none"/>
        </w:rPr>
        <w:t>is worse for business</w:t>
      </w:r>
    </w:p>
    <w:p>
      <w:pPr>
        <w:spacing w:after="80"/>
      </w:pPr>
      <w:r>
        <w:rPr>
          <w:b/>
          <w:i w:val="0"/>
          <w:smallCaps w:val="0"/>
          <w:strike w:val="0"/>
          <w:sz w:val="26"/>
          <w:u w:val="none"/>
        </w:rPr>
        <w:t>Joseffer</w:t>
      </w:r>
      <w:r>
        <w:rPr>
          <w:b/>
          <w:i w:val="0"/>
          <w:smallCaps w:val="0"/>
          <w:strike w:val="0"/>
          <w:sz w:val="26"/>
          <w:u w:val="none"/>
        </w:rPr>
        <w:t xml:space="preserve"> et al. 23</w:t>
      </w:r>
      <w:r>
        <w:rPr>
          <w:b w:val="0"/>
          <w:i w:val="0"/>
          <w:smallCaps w:val="0"/>
          <w:strike w:val="0"/>
          <w:u w:val="none"/>
        </w:rPr>
        <w:t xml:space="preserve"> [</w:t>
      </w:r>
      <w:r>
        <w:rPr>
          <w:b w:val="0"/>
          <w:i w:val="0"/>
          <w:smallCaps w:val="0"/>
          <w:strike w:val="0"/>
          <w:u w:val="none"/>
        </w:rPr>
        <w:t xml:space="preserve">Daryl </w:t>
      </w:r>
      <w:r>
        <w:rPr>
          <w:b w:val="0"/>
          <w:i w:val="0"/>
          <w:smallCaps w:val="0"/>
          <w:strike w:val="0"/>
          <w:u w:val="none"/>
        </w:rPr>
        <w:t>Joseffer</w:t>
      </w:r>
      <w:r>
        <w:rPr>
          <w:b w:val="0"/>
          <w:i w:val="0"/>
          <w:smallCaps w:val="0"/>
          <w:strike w:val="0"/>
          <w:u w:val="none"/>
        </w:rPr>
        <w:t xml:space="preserve"> is executive vice president and chief counsel at the U.S. Chamber Litigation Center, the litigation arm of the U.S. Chamber of Commerce</w:t>
      </w:r>
      <w:r>
        <w:rPr>
          <w:b w:val="0"/>
          <w:i w:val="0"/>
          <w:smallCaps w:val="0"/>
          <w:strike w:val="0"/>
          <w:u w:val="none"/>
        </w:rPr>
        <w:t>; *</w:t>
      </w:r>
      <w:r>
        <w:rPr>
          <w:b w:val="0"/>
          <w:i w:val="0"/>
          <w:smallCaps w:val="0"/>
          <w:strike w:val="0"/>
          <w:u w:val="none"/>
        </w:rPr>
        <w:t>Andy Varcoe is deputy chief counsel at the U.S. Chamber Litigation Center, the litigation arm of the U.S. Chamber of Commerce</w:t>
      </w:r>
      <w:r>
        <w:rPr>
          <w:b w:val="0"/>
          <w:i w:val="0"/>
          <w:smallCaps w:val="0"/>
          <w:strike w:val="0"/>
          <w:u w:val="none"/>
        </w:rPr>
        <w:t>; **</w:t>
      </w:r>
      <w:r>
        <w:rPr>
          <w:b w:val="0"/>
          <w:i w:val="0"/>
          <w:smallCaps w:val="0"/>
          <w:strike w:val="0"/>
          <w:u w:val="none"/>
        </w:rPr>
        <w:t>Helgi Walker is a partner in Gibson, Dunn &amp; Crutcher's Washington, D.C. office. She is co-chair of the firm's global Litigation Practice Group</w:t>
      </w:r>
      <w:r>
        <w:rPr>
          <w:b w:val="0"/>
          <w:i w:val="0"/>
          <w:smallCaps w:val="0"/>
          <w:strike w:val="0"/>
          <w:u w:val="none"/>
        </w:rPr>
        <w:t>; ***</w:t>
      </w:r>
      <w:r>
        <w:rPr>
          <w:b w:val="0"/>
          <w:i w:val="0"/>
          <w:smallCaps w:val="0"/>
          <w:strike w:val="0"/>
          <w:u w:val="none"/>
        </w:rPr>
        <w:t>Russell Balikian is a partner in the Washington, D.C. office of Gibson, Dunn &amp; Crutcher</w:t>
      </w:r>
      <w:r>
        <w:rPr>
          <w:b w:val="0"/>
          <w:i w:val="0"/>
          <w:smallCaps w:val="0"/>
          <w:strike w:val="0"/>
          <w:u w:val="none"/>
        </w:rPr>
        <w:t>; ***</w:t>
      </w:r>
      <w:r>
        <w:rPr>
          <w:b w:val="0"/>
          <w:i w:val="0"/>
          <w:smallCaps w:val="0"/>
          <w:strike w:val="0"/>
          <w:u w:val="none"/>
        </w:rPr>
        <w:t>Jessica L. Wagner is an associate in the Washington, D.C. office of Gibson, Dunn &amp; Crutcher</w:t>
      </w:r>
      <w:r>
        <w:rPr>
          <w:b w:val="0"/>
          <w:i w:val="0"/>
          <w:smallCaps w:val="0"/>
          <w:strike w:val="0"/>
          <w:u w:val="none"/>
        </w:rPr>
        <w:t>; ****</w:t>
      </w:r>
      <w:r>
        <w:rPr>
          <w:b w:val="0"/>
          <w:i w:val="0"/>
          <w:smallCaps w:val="0"/>
          <w:strike w:val="0"/>
          <w:u w:val="none"/>
        </w:rPr>
        <w:t>Edward Ferguson is an associate in the Washington, D.C. office of Gibson, Dunn &amp; Crutcher</w:t>
      </w:r>
      <w:r>
        <w:rPr>
          <w:b w:val="0"/>
          <w:i w:val="0"/>
          <w:smallCaps w:val="0"/>
          <w:strike w:val="0"/>
          <w:u w:val="none"/>
        </w:rPr>
        <w:t xml:space="preserve">; On Writ of Certiorari to the United States Court of Appeals for the District of Columbia Circuit; </w:t>
      </w:r>
      <w:r>
        <w:rPr>
          <w:b w:val="0"/>
          <w:i w:val="0"/>
          <w:smallCaps w:val="0"/>
          <w:strike w:val="0"/>
          <w:u w:val="none"/>
        </w:rPr>
        <w:t>No. 22-45</w:t>
      </w:r>
      <w:r>
        <w:rPr>
          <w:b w:val="0"/>
          <w:i w:val="0"/>
          <w:smallCaps w:val="0"/>
          <w:strike w:val="0"/>
          <w:u w:val="none"/>
        </w:rPr>
        <w:t>; 7/24/23; “BRIEF FOR AMICUS CURIAE THE CHAMBER OF COMMERCE OF THE UNITED STATES OF AMERICA IN SUPPORT OF PETITIONERS</w:t>
      </w:r>
      <w:r>
        <w:rPr>
          <w:b w:val="0"/>
          <w:i w:val="0"/>
          <w:smallCaps w:val="0"/>
          <w:strike w:val="0"/>
          <w:u w:val="none"/>
        </w:rPr>
        <w:t>.</w:t>
      </w:r>
      <w:r>
        <w:rPr>
          <w:b w:val="0"/>
          <w:i w:val="0"/>
          <w:smallCaps w:val="0"/>
          <w:strike w:val="0"/>
          <w:u w:val="none"/>
        </w:rPr>
        <w:t xml:space="preserve">”;  </w:t>
      </w:r>
      <w:r>
        <w:rPr>
          <w:b w:val="0"/>
          <w:i w:val="0"/>
          <w:smallCaps w:val="0"/>
          <w:strike w:val="0"/>
          <w:u w:val="none"/>
        </w:rPr>
        <w:t>https://www.supremecourt.gov/DocketPDF/22/22-451/272688/20230724120208874_Chamber%20-%20Loper%20Bright%20Amicus%20Brief.pdf</w:t>
      </w:r>
      <w:r>
        <w:rPr>
          <w:b w:val="0"/>
          <w:i w:val="0"/>
          <w:smallCaps w:val="0"/>
          <w:strike w:val="0"/>
          <w:u w:val="none"/>
        </w:rPr>
        <w:t>; Accessed 6/29/24]//</w:t>
      </w:r>
      <w:r>
        <w:rPr>
          <w:b w:val="0"/>
          <w:i w:val="0"/>
          <w:smallCaps w:val="0"/>
          <w:strike w:val="0"/>
          <w:u w:val="none"/>
        </w:rPr>
        <w:t>maikle</w:t>
      </w:r>
    </w:p>
    <w:p>
      <w:pPr>
        <w:spacing w:after="60"/>
      </w:pPr>
      <w:r>
        <w:rPr>
          <w:b w:val="0"/>
          <w:i w:val="0"/>
          <w:smallCaps w:val="0"/>
          <w:strike w:val="0"/>
          <w:sz w:val="16"/>
          <w:u w:val="none"/>
        </w:rPr>
        <w:t xml:space="preserve">C. </w:t>
      </w:r>
      <w:r>
        <w:rPr>
          <w:b w:val="0"/>
          <w:i w:val="0"/>
          <w:smallCaps w:val="0"/>
          <w:strike w:val="0"/>
          <w:sz w:val="22"/>
          <w:highlight w:val="cyan"/>
          <w:u w:val="single"/>
        </w:rPr>
        <w:t>Modern Chevron</w:t>
      </w:r>
      <w:r>
        <w:rPr>
          <w:b w:val="0"/>
          <w:i w:val="0"/>
          <w:smallCaps w:val="0"/>
          <w:strike w:val="0"/>
          <w:sz w:val="22"/>
          <w:u w:val="single"/>
        </w:rPr>
        <w:t xml:space="preserve"> doctrine has </w:t>
      </w:r>
      <w:r>
        <w:rPr>
          <w:b w:val="0"/>
          <w:i w:val="0"/>
          <w:smallCaps w:val="0"/>
          <w:strike w:val="0"/>
          <w:sz w:val="22"/>
          <w:u w:val="single"/>
        </w:rPr>
        <w:t>contributed to</w:t>
      </w:r>
      <w:r>
        <w:rPr>
          <w:b w:val="0"/>
          <w:i w:val="0"/>
          <w:smallCaps w:val="0"/>
          <w:strike w:val="0"/>
          <w:sz w:val="22"/>
          <w:u w:val="single"/>
        </w:rPr>
        <w:t xml:space="preserve"> an </w:t>
      </w:r>
      <w:r>
        <w:rPr>
          <w:b/>
          <w:i w:val="0"/>
          <w:smallCaps w:val="0"/>
          <w:strike w:val="0"/>
          <w:sz w:val="22"/>
          <w:highlight w:val="cyan"/>
          <w:u w:val="single"/>
        </w:rPr>
        <w:t>unpredictable</w:t>
      </w:r>
      <w:r>
        <w:rPr>
          <w:b w:val="0"/>
          <w:i w:val="0"/>
          <w:smallCaps w:val="0"/>
          <w:strike w:val="0"/>
          <w:sz w:val="16"/>
          <w:u w:val="none"/>
        </w:rPr>
        <w:t xml:space="preserve">, </w:t>
      </w:r>
      <w:r>
        <w:rPr>
          <w:b/>
          <w:i w:val="0"/>
          <w:smallCaps w:val="0"/>
          <w:strike w:val="0"/>
          <w:sz w:val="22"/>
          <w:u w:val="single"/>
        </w:rPr>
        <w:t>unstable</w:t>
      </w:r>
      <w:r>
        <w:rPr>
          <w:b w:val="0"/>
          <w:i w:val="0"/>
          <w:smallCaps w:val="0"/>
          <w:strike w:val="0"/>
          <w:sz w:val="22"/>
          <w:u w:val="single"/>
        </w:rPr>
        <w:t xml:space="preserve"> </w:t>
      </w:r>
      <w:r>
        <w:rPr>
          <w:b/>
          <w:i w:val="0"/>
          <w:smallCaps w:val="0"/>
          <w:strike w:val="0"/>
          <w:sz w:val="22"/>
          <w:u w:val="single"/>
        </w:rPr>
        <w:t>regulatory</w:t>
      </w:r>
      <w:r>
        <w:rPr>
          <w:b w:val="0"/>
          <w:i w:val="0"/>
          <w:smallCaps w:val="0"/>
          <w:strike w:val="0"/>
          <w:sz w:val="22"/>
          <w:u w:val="single"/>
        </w:rPr>
        <w:t xml:space="preserve"> environment</w:t>
      </w:r>
      <w:r>
        <w:rPr>
          <w:b w:val="0"/>
          <w:i w:val="0"/>
          <w:smallCaps w:val="0"/>
          <w:strike w:val="0"/>
          <w:sz w:val="16"/>
          <w:u w:val="none"/>
        </w:rPr>
        <w:t>.</w:t>
      </w:r>
    </w:p>
    <w:p>
      <w:pPr>
        <w:spacing w:after="60"/>
      </w:pPr>
      <w:r>
        <w:rPr>
          <w:b w:val="0"/>
          <w:i w:val="0"/>
          <w:smallCaps w:val="0"/>
          <w:strike w:val="0"/>
          <w:sz w:val="22"/>
          <w:highlight w:val="cyan"/>
          <w:u w:val="single"/>
        </w:rPr>
        <w:t>Since</w:t>
      </w:r>
      <w:r>
        <w:rPr>
          <w:b w:val="0"/>
          <w:i w:val="0"/>
          <w:smallCaps w:val="0"/>
          <w:strike w:val="0"/>
          <w:sz w:val="16"/>
          <w:u w:val="none"/>
        </w:rPr>
        <w:t xml:space="preserve"> Chevron was decided in </w:t>
      </w:r>
      <w:r>
        <w:rPr>
          <w:b/>
          <w:i w:val="0"/>
          <w:smallCaps w:val="0"/>
          <w:strike w:val="0"/>
          <w:sz w:val="22"/>
          <w:highlight w:val="cyan"/>
          <w:u w:val="single"/>
        </w:rPr>
        <w:t>1984</w:t>
      </w:r>
      <w:r>
        <w:rPr>
          <w:b w:val="0"/>
          <w:i w:val="0"/>
          <w:smallCaps w:val="0"/>
          <w:strike w:val="0"/>
          <w:sz w:val="16"/>
          <w:u w:val="none"/>
        </w:rPr>
        <w:t xml:space="preserve">, </w:t>
      </w:r>
      <w:r>
        <w:rPr>
          <w:b w:val="0"/>
          <w:i w:val="0"/>
          <w:smallCaps w:val="0"/>
          <w:strike w:val="0"/>
          <w:sz w:val="22"/>
          <w:u w:val="single"/>
        </w:rPr>
        <w:t xml:space="preserve">agencies’ regulatory reach has </w:t>
      </w:r>
      <w:r>
        <w:rPr>
          <w:b/>
          <w:i w:val="0"/>
          <w:smallCaps w:val="0"/>
          <w:strike w:val="0"/>
          <w:sz w:val="22"/>
          <w:u w:val="single"/>
        </w:rPr>
        <w:t>grown</w:t>
      </w:r>
      <w:r>
        <w:rPr>
          <w:b w:val="0"/>
          <w:i w:val="0"/>
          <w:smallCaps w:val="0"/>
          <w:strike w:val="0"/>
          <w:sz w:val="16"/>
          <w:u w:val="none"/>
        </w:rPr>
        <w:t>. See Free Enter. Fund v. PCAOB, 561 U.S. 477, 499 (2010) (noting administrative state now “touches almost every aspect of daily life”). “The Framers could hardly have envisioned today’s ‘vast and varied federal bureaucracy’ and the authority administrative agencies now hold over our economic, social, and political activities.” City of Arlington v. FCC, 569 U.S. 290, 313 (2013) (Roberts, C.J., dissenting) (citation omitted). Hundreds of Executive Branch and independent agencies or components now make policy through rulemaking, to say nothing of adjudications for which agencies sometimes claim deference. See generally Federal Register, Agencies, https://www.federalregister.gov/agencies.</w:t>
      </w:r>
    </w:p>
    <w:p>
      <w:pPr>
        <w:spacing w:after="60"/>
      </w:pPr>
      <w:r>
        <w:rPr>
          <w:b w:val="0"/>
          <w:i w:val="0"/>
          <w:smallCaps w:val="0"/>
          <w:strike w:val="0"/>
          <w:sz w:val="22"/>
          <w:u w:val="single"/>
        </w:rPr>
        <w:t>As a result</w:t>
      </w:r>
      <w:r>
        <w:rPr>
          <w:b w:val="0"/>
          <w:i w:val="0"/>
          <w:smallCaps w:val="0"/>
          <w:strike w:val="0"/>
          <w:sz w:val="16"/>
          <w:u w:val="none"/>
        </w:rPr>
        <w:t xml:space="preserve">, </w:t>
      </w:r>
      <w:r>
        <w:rPr>
          <w:b w:val="0"/>
          <w:i w:val="0"/>
          <w:smallCaps w:val="0"/>
          <w:strike w:val="0"/>
          <w:sz w:val="22"/>
          <w:u w:val="single"/>
        </w:rPr>
        <w:t xml:space="preserve">the </w:t>
      </w:r>
      <w:r>
        <w:rPr>
          <w:b w:val="0"/>
          <w:i w:val="0"/>
          <w:smallCaps w:val="0"/>
          <w:strike w:val="0"/>
          <w:sz w:val="22"/>
          <w:u w:val="single"/>
        </w:rPr>
        <w:t>scope of</w:t>
      </w:r>
      <w:r>
        <w:rPr>
          <w:b w:val="0"/>
          <w:i w:val="0"/>
          <w:smallCaps w:val="0"/>
          <w:strike w:val="0"/>
          <w:sz w:val="22"/>
          <w:u w:val="single"/>
        </w:rPr>
        <w:t xml:space="preserve"> Chevron’s</w:t>
      </w:r>
      <w:r>
        <w:rPr>
          <w:b w:val="0"/>
          <w:i w:val="0"/>
          <w:smallCaps w:val="0"/>
          <w:strike w:val="0"/>
          <w:sz w:val="16"/>
          <w:u w:val="none"/>
        </w:rPr>
        <w:t xml:space="preserve"> potential </w:t>
      </w:r>
      <w:r>
        <w:rPr>
          <w:b/>
          <w:i w:val="0"/>
          <w:smallCaps w:val="0"/>
          <w:strike w:val="0"/>
          <w:sz w:val="22"/>
          <w:highlight w:val="cyan"/>
          <w:u w:val="single"/>
        </w:rPr>
        <w:t>applicability</w:t>
      </w:r>
      <w:r>
        <w:rPr>
          <w:b w:val="0"/>
          <w:i w:val="0"/>
          <w:smallCaps w:val="0"/>
          <w:strike w:val="0"/>
          <w:sz w:val="16"/>
          <w:u w:val="none"/>
        </w:rPr>
        <w:t xml:space="preserve"> has also </w:t>
      </w:r>
      <w:r>
        <w:rPr>
          <w:b w:val="0"/>
          <w:i w:val="0"/>
          <w:smallCaps w:val="0"/>
          <w:strike w:val="0"/>
          <w:sz w:val="22"/>
          <w:highlight w:val="cyan"/>
          <w:u w:val="single"/>
        </w:rPr>
        <w:t>expanded</w:t>
      </w:r>
      <w:r>
        <w:rPr>
          <w:b w:val="0"/>
          <w:i w:val="0"/>
          <w:smallCaps w:val="0"/>
          <w:strike w:val="0"/>
          <w:sz w:val="16"/>
          <w:u w:val="none"/>
        </w:rPr>
        <w:t xml:space="preserve">. </w:t>
      </w:r>
      <w:r>
        <w:rPr>
          <w:b w:val="0"/>
          <w:i w:val="0"/>
          <w:smallCaps w:val="0"/>
          <w:strike w:val="0"/>
          <w:sz w:val="22"/>
          <w:u w:val="single"/>
        </w:rPr>
        <w:t>The Code of Federal Regulations</w:t>
      </w:r>
      <w:r>
        <w:rPr>
          <w:b w:val="0"/>
          <w:i w:val="0"/>
          <w:smallCaps w:val="0"/>
          <w:strike w:val="0"/>
          <w:sz w:val="16"/>
          <w:u w:val="none"/>
        </w:rPr>
        <w:t xml:space="preserve"> has </w:t>
      </w:r>
      <w:r>
        <w:rPr>
          <w:b w:val="0"/>
          <w:i w:val="0"/>
          <w:smallCaps w:val="0"/>
          <w:strike w:val="0"/>
          <w:sz w:val="22"/>
          <w:u w:val="single"/>
        </w:rPr>
        <w:t>ballooned from just over 110,000 pages in 1984 to more than 180,000 pages as of 2021</w:t>
      </w:r>
      <w:r>
        <w:rPr>
          <w:b w:val="0"/>
          <w:i w:val="0"/>
          <w:smallCaps w:val="0"/>
          <w:strike w:val="0"/>
          <w:sz w:val="16"/>
          <w:u w:val="none"/>
        </w:rPr>
        <w:t xml:space="preserve">, </w:t>
      </w:r>
      <w:r>
        <w:rPr>
          <w:b w:val="0"/>
          <w:i w:val="0"/>
          <w:smallCaps w:val="0"/>
          <w:strike w:val="0"/>
          <w:sz w:val="22"/>
          <w:u w:val="single"/>
        </w:rPr>
        <w:t>a 64% increase</w:t>
      </w:r>
      <w:r>
        <w:rPr>
          <w:b w:val="0"/>
          <w:i w:val="0"/>
          <w:smallCaps w:val="0"/>
          <w:strike w:val="0"/>
          <w:sz w:val="16"/>
          <w:u w:val="none"/>
        </w:rPr>
        <w:t xml:space="preserve"> in the pages of regulations binding American companies and individuals. See Geo. Wash. Univ., </w:t>
      </w:r>
      <w:r>
        <w:rPr>
          <w:b w:val="0"/>
          <w:i w:val="0"/>
          <w:smallCaps w:val="0"/>
          <w:strike w:val="0"/>
          <w:sz w:val="16"/>
          <w:u w:val="none"/>
        </w:rPr>
        <w:t>Regul</w:t>
      </w:r>
      <w:r>
        <w:rPr>
          <w:b w:val="0"/>
          <w:i w:val="0"/>
          <w:smallCaps w:val="0"/>
          <w:strike w:val="0"/>
          <w:sz w:val="16"/>
          <w:u w:val="none"/>
        </w:rPr>
        <w:t xml:space="preserve">. Stud. Ctr., Total Pages Published in the Code of Federal Regulations, https://tinyurl.com/ bdex48mk. And the Federal Register has grown from roughly 50,000 pages in 1984 to well over 80,000 in 2022, a 60% increase. See Geo. Wash. Univ., </w:t>
      </w:r>
      <w:r>
        <w:rPr>
          <w:b w:val="0"/>
          <w:i w:val="0"/>
          <w:smallCaps w:val="0"/>
          <w:strike w:val="0"/>
          <w:sz w:val="16"/>
          <w:u w:val="none"/>
        </w:rPr>
        <w:t>Regul</w:t>
      </w:r>
      <w:r>
        <w:rPr>
          <w:b w:val="0"/>
          <w:i w:val="0"/>
          <w:smallCaps w:val="0"/>
          <w:strike w:val="0"/>
          <w:sz w:val="16"/>
          <w:u w:val="none"/>
        </w:rPr>
        <w:t>. Stud. Ctr., Total Pages Published in the Federal Register, https://tinyurl.com/bdd3cbzw.</w:t>
      </w:r>
    </w:p>
    <w:p>
      <w:pPr>
        <w:spacing w:after="60"/>
      </w:pPr>
      <w:r>
        <w:rPr>
          <w:b w:val="0"/>
          <w:i w:val="0"/>
          <w:smallCaps w:val="0"/>
          <w:strike w:val="0"/>
          <w:sz w:val="22"/>
          <w:u w:val="single"/>
        </w:rPr>
        <w:t>By fostering</w:t>
      </w:r>
      <w:r>
        <w:rPr>
          <w:b w:val="0"/>
          <w:i w:val="0"/>
          <w:smallCaps w:val="0"/>
          <w:strike w:val="0"/>
          <w:sz w:val="16"/>
          <w:u w:val="none"/>
        </w:rPr>
        <w:t xml:space="preserve"> sweeping </w:t>
      </w:r>
      <w:r>
        <w:rPr>
          <w:b/>
          <w:i w:val="0"/>
          <w:smallCaps w:val="0"/>
          <w:strike w:val="0"/>
          <w:sz w:val="22"/>
          <w:u w:val="single"/>
        </w:rPr>
        <w:t>deference</w:t>
      </w:r>
      <w:r>
        <w:rPr>
          <w:b w:val="0"/>
          <w:i w:val="0"/>
          <w:smallCaps w:val="0"/>
          <w:strike w:val="0"/>
          <w:sz w:val="22"/>
          <w:u w:val="single"/>
        </w:rPr>
        <w:t xml:space="preserve"> to </w:t>
      </w:r>
      <w:r>
        <w:rPr>
          <w:b/>
          <w:i w:val="0"/>
          <w:smallCaps w:val="0"/>
          <w:strike w:val="0"/>
          <w:sz w:val="22"/>
          <w:u w:val="single"/>
        </w:rPr>
        <w:t>agencies</w:t>
      </w:r>
      <w:r>
        <w:rPr>
          <w:b w:val="0"/>
          <w:i w:val="0"/>
          <w:smallCaps w:val="0"/>
          <w:strike w:val="0"/>
          <w:sz w:val="16"/>
          <w:u w:val="none"/>
        </w:rPr>
        <w:t xml:space="preserve">, </w:t>
      </w:r>
      <w:r>
        <w:rPr>
          <w:b w:val="0"/>
          <w:i w:val="0"/>
          <w:smallCaps w:val="0"/>
          <w:strike w:val="0"/>
          <w:sz w:val="22"/>
          <w:u w:val="single"/>
        </w:rPr>
        <w:t>modern</w:t>
      </w:r>
      <w:r>
        <w:rPr>
          <w:b w:val="0"/>
          <w:i w:val="0"/>
          <w:smallCaps w:val="0"/>
          <w:strike w:val="0"/>
          <w:sz w:val="22"/>
          <w:u w:val="single"/>
        </w:rPr>
        <w:t xml:space="preserve"> Chevron doctrine has </w:t>
      </w:r>
      <w:r>
        <w:rPr>
          <w:b/>
          <w:i w:val="0"/>
          <w:smallCaps w:val="0"/>
          <w:strike w:val="0"/>
          <w:sz w:val="22"/>
          <w:highlight w:val="cyan"/>
          <w:u w:val="single"/>
        </w:rPr>
        <w:t>exacerbated</w:t>
      </w:r>
      <w:r>
        <w:rPr>
          <w:b w:val="0"/>
          <w:i w:val="0"/>
          <w:smallCaps w:val="0"/>
          <w:strike w:val="0"/>
          <w:sz w:val="22"/>
          <w:u w:val="single"/>
        </w:rPr>
        <w:t xml:space="preserve"> the </w:t>
      </w:r>
      <w:r>
        <w:rPr>
          <w:b w:val="0"/>
          <w:i w:val="0"/>
          <w:smallCaps w:val="0"/>
          <w:strike w:val="0"/>
          <w:sz w:val="22"/>
          <w:u w:val="single"/>
        </w:rPr>
        <w:t>qualitative</w:t>
      </w:r>
      <w:r>
        <w:rPr>
          <w:b/>
          <w:i w:val="0"/>
          <w:smallCaps w:val="0"/>
          <w:strike w:val="0"/>
          <w:sz w:val="22"/>
          <w:u w:val="single"/>
        </w:rPr>
        <w:t xml:space="preserve"> </w:t>
      </w:r>
      <w:r>
        <w:rPr>
          <w:b/>
          <w:i w:val="0"/>
          <w:smallCaps w:val="0"/>
          <w:strike w:val="0"/>
          <w:sz w:val="22"/>
          <w:highlight w:val="cyan"/>
          <w:u w:val="single"/>
        </w:rPr>
        <w:t>problems</w:t>
      </w:r>
      <w:r>
        <w:rPr>
          <w:b w:val="0"/>
          <w:i w:val="0"/>
          <w:smallCaps w:val="0"/>
          <w:strike w:val="0"/>
          <w:sz w:val="22"/>
          <w:highlight w:val="cyan"/>
          <w:u w:val="single"/>
        </w:rPr>
        <w:t xml:space="preserve"> </w:t>
      </w:r>
      <w:r>
        <w:rPr>
          <w:b/>
          <w:i w:val="0"/>
          <w:smallCaps w:val="0"/>
          <w:strike w:val="0"/>
          <w:sz w:val="22"/>
          <w:highlight w:val="cyan"/>
          <w:u w:val="single"/>
        </w:rPr>
        <w:t>inherent</w:t>
      </w:r>
      <w:r>
        <w:rPr>
          <w:b w:val="0"/>
          <w:i w:val="0"/>
          <w:smallCaps w:val="0"/>
          <w:strike w:val="0"/>
          <w:sz w:val="22"/>
          <w:highlight w:val="cyan"/>
          <w:u w:val="single"/>
        </w:rPr>
        <w:t xml:space="preserve"> in</w:t>
      </w:r>
      <w:r>
        <w:rPr>
          <w:b w:val="0"/>
          <w:i w:val="0"/>
          <w:smallCaps w:val="0"/>
          <w:strike w:val="0"/>
          <w:sz w:val="22"/>
          <w:u w:val="single"/>
        </w:rPr>
        <w:t xml:space="preserve"> this</w:t>
      </w:r>
      <w:r>
        <w:rPr>
          <w:b w:val="0"/>
          <w:i w:val="0"/>
          <w:smallCaps w:val="0"/>
          <w:strike w:val="0"/>
          <w:sz w:val="22"/>
          <w:u w:val="single"/>
        </w:rPr>
        <w:t xml:space="preserve"> quantitative </w:t>
      </w:r>
      <w:r>
        <w:rPr>
          <w:b w:val="0"/>
          <w:i w:val="0"/>
          <w:smallCaps w:val="0"/>
          <w:strike w:val="0"/>
          <w:sz w:val="22"/>
          <w:highlight w:val="cyan"/>
          <w:u w:val="single"/>
        </w:rPr>
        <w:t>explosion of regulations</w:t>
      </w:r>
      <w:r>
        <w:rPr>
          <w:b w:val="0"/>
          <w:i w:val="0"/>
          <w:smallCaps w:val="0"/>
          <w:strike w:val="0"/>
          <w:sz w:val="16"/>
          <w:u w:val="none"/>
        </w:rPr>
        <w:t xml:space="preserve">. The doctrine has </w:t>
      </w:r>
      <w:r>
        <w:rPr>
          <w:b w:val="0"/>
          <w:i w:val="0"/>
          <w:smallCaps w:val="0"/>
          <w:strike w:val="0"/>
          <w:sz w:val="22"/>
          <w:u w:val="single"/>
        </w:rPr>
        <w:t xml:space="preserve">allowed </w:t>
      </w:r>
      <w:r>
        <w:rPr>
          <w:b w:val="0"/>
          <w:i w:val="0"/>
          <w:smallCaps w:val="0"/>
          <w:strike w:val="0"/>
          <w:sz w:val="22"/>
          <w:highlight w:val="cyan"/>
          <w:u w:val="single"/>
        </w:rPr>
        <w:t>agencies</w:t>
      </w:r>
      <w:r>
        <w:rPr>
          <w:b w:val="0"/>
          <w:i w:val="0"/>
          <w:smallCaps w:val="0"/>
          <w:strike w:val="0"/>
          <w:sz w:val="22"/>
          <w:u w:val="single"/>
        </w:rPr>
        <w:t xml:space="preserve"> to </w:t>
      </w:r>
      <w:r>
        <w:rPr>
          <w:b/>
          <w:i w:val="0"/>
          <w:smallCaps w:val="0"/>
          <w:strike w:val="0"/>
          <w:sz w:val="22"/>
          <w:highlight w:val="cyan"/>
          <w:u w:val="single"/>
        </w:rPr>
        <w:t>accrete</w:t>
      </w:r>
      <w:r>
        <w:rPr>
          <w:b w:val="0"/>
          <w:i w:val="0"/>
          <w:smallCaps w:val="0"/>
          <w:strike w:val="0"/>
          <w:sz w:val="16"/>
          <w:u w:val="none"/>
        </w:rPr>
        <w:t xml:space="preserve"> more and </w:t>
      </w:r>
      <w:r>
        <w:rPr>
          <w:b/>
          <w:i w:val="0"/>
          <w:smallCaps w:val="0"/>
          <w:strike w:val="0"/>
          <w:sz w:val="22"/>
          <w:highlight w:val="cyan"/>
          <w:u w:val="single"/>
        </w:rPr>
        <w:t>more power</w:t>
      </w:r>
      <w:r>
        <w:rPr>
          <w:b w:val="0"/>
          <w:i w:val="0"/>
          <w:smallCaps w:val="0"/>
          <w:strike w:val="0"/>
          <w:sz w:val="22"/>
          <w:highlight w:val="cyan"/>
          <w:u w:val="single"/>
        </w:rPr>
        <w:t xml:space="preserve"> that</w:t>
      </w:r>
      <w:r>
        <w:rPr>
          <w:b w:val="0"/>
          <w:i w:val="0"/>
          <w:smallCaps w:val="0"/>
          <w:strike w:val="0"/>
          <w:sz w:val="22"/>
          <w:u w:val="single"/>
        </w:rPr>
        <w:t xml:space="preserve"> properly </w:t>
      </w:r>
      <w:r>
        <w:rPr>
          <w:b w:val="0"/>
          <w:i w:val="0"/>
          <w:smallCaps w:val="0"/>
          <w:strike w:val="0"/>
          <w:sz w:val="22"/>
          <w:highlight w:val="cyan"/>
          <w:u w:val="single"/>
        </w:rPr>
        <w:t>belongs under Article I</w:t>
      </w:r>
      <w:r>
        <w:rPr>
          <w:b w:val="0"/>
          <w:i w:val="0"/>
          <w:smallCaps w:val="0"/>
          <w:strike w:val="0"/>
          <w:sz w:val="22"/>
          <w:u w:val="single"/>
        </w:rPr>
        <w:t xml:space="preserve"> without judicial oversight under Article III</w:t>
      </w:r>
      <w:r>
        <w:rPr>
          <w:b w:val="0"/>
          <w:i w:val="0"/>
          <w:smallCaps w:val="0"/>
          <w:strike w:val="0"/>
          <w:sz w:val="16"/>
          <w:u w:val="none"/>
        </w:rPr>
        <w:t xml:space="preserve">. </w:t>
      </w:r>
      <w:r>
        <w:rPr>
          <w:b/>
          <w:i w:val="0"/>
          <w:smallCaps w:val="0"/>
          <w:strike w:val="0"/>
          <w:sz w:val="22"/>
          <w:u w:val="single"/>
        </w:rPr>
        <w:t>Emboldened</w:t>
      </w:r>
      <w:r>
        <w:rPr>
          <w:b w:val="0"/>
          <w:i w:val="0"/>
          <w:smallCaps w:val="0"/>
          <w:strike w:val="0"/>
          <w:sz w:val="22"/>
          <w:u w:val="single"/>
        </w:rPr>
        <w:t xml:space="preserve"> by Chevron deference</w:t>
      </w:r>
      <w:r>
        <w:rPr>
          <w:b w:val="0"/>
          <w:i w:val="0"/>
          <w:smallCaps w:val="0"/>
          <w:strike w:val="0"/>
          <w:sz w:val="16"/>
          <w:u w:val="none"/>
        </w:rPr>
        <w:t xml:space="preserve">, </w:t>
      </w:r>
      <w:r>
        <w:rPr>
          <w:b w:val="0"/>
          <w:i w:val="0"/>
          <w:smallCaps w:val="0"/>
          <w:strike w:val="0"/>
          <w:sz w:val="22"/>
          <w:highlight w:val="cyan"/>
          <w:u w:val="single"/>
        </w:rPr>
        <w:t>agencies</w:t>
      </w:r>
      <w:r>
        <w:rPr>
          <w:b w:val="0"/>
          <w:i w:val="0"/>
          <w:smallCaps w:val="0"/>
          <w:strike w:val="0"/>
          <w:sz w:val="16"/>
          <w:u w:val="none"/>
        </w:rPr>
        <w:t xml:space="preserve"> have </w:t>
      </w:r>
      <w:r>
        <w:rPr>
          <w:b w:val="0"/>
          <w:i w:val="0"/>
          <w:smallCaps w:val="0"/>
          <w:strike w:val="0"/>
          <w:sz w:val="22"/>
          <w:highlight w:val="cyan"/>
          <w:u w:val="single"/>
        </w:rPr>
        <w:t>adopted</w:t>
      </w:r>
      <w:r>
        <w:rPr>
          <w:b w:val="0"/>
          <w:i w:val="0"/>
          <w:smallCaps w:val="0"/>
          <w:strike w:val="0"/>
          <w:sz w:val="16"/>
          <w:u w:val="none"/>
        </w:rPr>
        <w:t xml:space="preserve"> increasingly </w:t>
      </w:r>
      <w:r>
        <w:rPr>
          <w:b/>
          <w:i w:val="0"/>
          <w:smallCaps w:val="0"/>
          <w:strike w:val="0"/>
          <w:sz w:val="22"/>
          <w:highlight w:val="cyan"/>
          <w:u w:val="single"/>
        </w:rPr>
        <w:t>aggressive interpretations</w:t>
      </w:r>
      <w:r>
        <w:rPr>
          <w:b w:val="0"/>
          <w:i w:val="0"/>
          <w:smallCaps w:val="0"/>
          <w:strike w:val="0"/>
          <w:sz w:val="22"/>
          <w:u w:val="single"/>
        </w:rPr>
        <w:t xml:space="preserve"> of the statutes they enforce</w:t>
      </w:r>
      <w:r>
        <w:rPr>
          <w:b w:val="0"/>
          <w:i w:val="0"/>
          <w:smallCaps w:val="0"/>
          <w:strike w:val="0"/>
          <w:sz w:val="16"/>
          <w:u w:val="none"/>
        </w:rPr>
        <w:t xml:space="preserve">, frequently </w:t>
      </w:r>
      <w:r>
        <w:rPr>
          <w:b w:val="0"/>
          <w:i w:val="0"/>
          <w:smallCaps w:val="0"/>
          <w:strike w:val="0"/>
          <w:sz w:val="22"/>
          <w:highlight w:val="cyan"/>
          <w:u w:val="single"/>
        </w:rPr>
        <w:t>finding</w:t>
      </w:r>
      <w:r>
        <w:rPr>
          <w:b w:val="0"/>
          <w:i w:val="0"/>
          <w:smallCaps w:val="0"/>
          <w:strike w:val="0"/>
          <w:sz w:val="16"/>
          <w:highlight w:val="cyan"/>
          <w:u w:val="none"/>
        </w:rPr>
        <w:t xml:space="preserve"> “</w:t>
      </w:r>
      <w:r>
        <w:rPr>
          <w:b/>
          <w:i w:val="0"/>
          <w:smallCaps w:val="0"/>
          <w:strike w:val="0"/>
          <w:sz w:val="22"/>
          <w:highlight w:val="cyan"/>
          <w:u w:val="single"/>
        </w:rPr>
        <w:t>unheralded power</w:t>
      </w:r>
      <w:r>
        <w:rPr>
          <w:b w:val="0"/>
          <w:i w:val="0"/>
          <w:smallCaps w:val="0"/>
          <w:strike w:val="0"/>
          <w:sz w:val="22"/>
          <w:highlight w:val="cyan"/>
          <w:u w:val="single"/>
        </w:rPr>
        <w:t xml:space="preserve"> to </w:t>
      </w:r>
      <w:r>
        <w:rPr>
          <w:b/>
          <w:i w:val="0"/>
          <w:smallCaps w:val="0"/>
          <w:strike w:val="0"/>
          <w:sz w:val="22"/>
          <w:highlight w:val="cyan"/>
          <w:u w:val="single"/>
        </w:rPr>
        <w:t>regulate</w:t>
      </w:r>
      <w:r>
        <w:rPr>
          <w:b w:val="0"/>
          <w:i w:val="0"/>
          <w:smallCaps w:val="0"/>
          <w:strike w:val="0"/>
          <w:sz w:val="16"/>
          <w:u w:val="none"/>
        </w:rPr>
        <w:t xml:space="preserve">” in seemingly open-ended language. Util. Air </w:t>
      </w:r>
      <w:r>
        <w:rPr>
          <w:b w:val="0"/>
          <w:i w:val="0"/>
          <w:smallCaps w:val="0"/>
          <w:strike w:val="0"/>
          <w:sz w:val="16"/>
          <w:u w:val="none"/>
        </w:rPr>
        <w:t>Regul</w:t>
      </w:r>
      <w:r>
        <w:rPr>
          <w:b w:val="0"/>
          <w:i w:val="0"/>
          <w:smallCaps w:val="0"/>
          <w:strike w:val="0"/>
          <w:sz w:val="16"/>
          <w:u w:val="none"/>
        </w:rPr>
        <w:t>. Grp. v. EPA, 573 U.S. 302, 324 (2014).</w:t>
      </w:r>
    </w:p>
    <w:p>
      <w:pPr>
        <w:spacing w:after="60"/>
      </w:pPr>
      <w:r>
        <w:rPr>
          <w:b w:val="0"/>
          <w:i w:val="0"/>
          <w:smallCaps w:val="0"/>
          <w:strike w:val="0"/>
          <w:sz w:val="16"/>
          <w:u w:val="none"/>
        </w:rPr>
        <w:t xml:space="preserve">Consider the EPA’s effort to fundamentally restructure “the Nation’s overall mix of electricity </w:t>
      </w:r>
      <w:r>
        <w:rPr>
          <w:b w:val="0"/>
          <w:i w:val="0"/>
          <w:smallCaps w:val="0"/>
          <w:strike w:val="0"/>
          <w:sz w:val="16"/>
          <w:u w:val="none"/>
        </w:rPr>
        <w:t>generatio</w:t>
      </w:r>
      <w:r>
        <w:rPr>
          <w:b w:val="0"/>
          <w:i w:val="0"/>
          <w:smallCaps w:val="0"/>
          <w:strike w:val="0"/>
          <w:sz w:val="16"/>
          <w:u w:val="none"/>
        </w:rPr>
        <w:t xml:space="preserve">[n] to transition from 38% coal to 27% coal by 2030” based on “the vague language of an ancillary provision of” the Clean Air Act. West Virginia v. EPA, 142 S. Ct. 2587, 2607, 2610 (2022) (brackets and quotation marks omitted). Or the CDC’s effort to institute a nationwide eviction moratorium based on a “wafer-thin reed” of textual authority. Ala. </w:t>
      </w:r>
      <w:r>
        <w:rPr>
          <w:b w:val="0"/>
          <w:i w:val="0"/>
          <w:smallCaps w:val="0"/>
          <w:strike w:val="0"/>
          <w:sz w:val="16"/>
          <w:u w:val="none"/>
        </w:rPr>
        <w:t>Ass’n</w:t>
      </w:r>
      <w:r>
        <w:rPr>
          <w:b w:val="0"/>
          <w:i w:val="0"/>
          <w:smallCaps w:val="0"/>
          <w:strike w:val="0"/>
          <w:sz w:val="16"/>
          <w:u w:val="none"/>
        </w:rPr>
        <w:t xml:space="preserve"> of Realtors v. HHS, 141 S. Ct. 2485, 2489 (2021) (per </w:t>
      </w:r>
      <w:r>
        <w:rPr>
          <w:b w:val="0"/>
          <w:i w:val="0"/>
          <w:smallCaps w:val="0"/>
          <w:strike w:val="0"/>
          <w:sz w:val="16"/>
          <w:u w:val="none"/>
        </w:rPr>
        <w:t>curiam</w:t>
      </w:r>
      <w:r>
        <w:rPr>
          <w:b w:val="0"/>
          <w:i w:val="0"/>
          <w:smallCaps w:val="0"/>
          <w:strike w:val="0"/>
          <w:sz w:val="16"/>
          <w:u w:val="none"/>
        </w:rPr>
        <w:t xml:space="preserve">). Or the Department of Labor’s attempt to “transform the trillion-dollar market for IRA investments, annuities and insurance products,” and to “regulate in an entirely new way hundreds of thousands of financial service providers and insurance companies” in that market. Chamber of Com. v. U.S. </w:t>
      </w:r>
      <w:r>
        <w:rPr>
          <w:b w:val="0"/>
          <w:i w:val="0"/>
          <w:smallCaps w:val="0"/>
          <w:strike w:val="0"/>
          <w:sz w:val="16"/>
          <w:u w:val="none"/>
        </w:rPr>
        <w:t>Dep’t</w:t>
      </w:r>
      <w:r>
        <w:rPr>
          <w:b w:val="0"/>
          <w:i w:val="0"/>
          <w:smallCaps w:val="0"/>
          <w:strike w:val="0"/>
          <w:sz w:val="16"/>
          <w:u w:val="none"/>
        </w:rPr>
        <w:t xml:space="preserve"> of Labor, 885 F.3d 360, 363, 387 (5th Cir. 2018).</w:t>
      </w:r>
    </w:p>
    <w:p>
      <w:pPr>
        <w:spacing w:after="60"/>
      </w:pPr>
      <w:r>
        <w:rPr>
          <w:b w:val="0"/>
          <w:i w:val="0"/>
          <w:smallCaps w:val="0"/>
          <w:strike w:val="0"/>
          <w:sz w:val="22"/>
          <w:u w:val="single"/>
        </w:rPr>
        <w:t xml:space="preserve">The </w:t>
      </w:r>
      <w:r>
        <w:rPr>
          <w:b w:val="0"/>
          <w:i w:val="0"/>
          <w:smallCaps w:val="0"/>
          <w:strike w:val="0"/>
          <w:sz w:val="22"/>
          <w:highlight w:val="cyan"/>
          <w:u w:val="single"/>
        </w:rPr>
        <w:t xml:space="preserve">result is </w:t>
      </w:r>
      <w:r>
        <w:rPr>
          <w:b/>
          <w:i w:val="0"/>
          <w:smallCaps w:val="0"/>
          <w:strike w:val="0"/>
          <w:sz w:val="22"/>
          <w:highlight w:val="cyan"/>
          <w:u w:val="single"/>
        </w:rPr>
        <w:t>bad</w:t>
      </w:r>
      <w:r>
        <w:rPr>
          <w:b w:val="0"/>
          <w:i w:val="0"/>
          <w:smallCaps w:val="0"/>
          <w:strike w:val="0"/>
          <w:sz w:val="22"/>
          <w:highlight w:val="cyan"/>
          <w:u w:val="single"/>
        </w:rPr>
        <w:t xml:space="preserve"> for</w:t>
      </w:r>
      <w:r>
        <w:rPr>
          <w:b w:val="0"/>
          <w:i w:val="0"/>
          <w:smallCaps w:val="0"/>
          <w:strike w:val="0"/>
          <w:sz w:val="22"/>
          <w:u w:val="single"/>
        </w:rPr>
        <w:t xml:space="preserve"> free </w:t>
      </w:r>
      <w:r>
        <w:rPr>
          <w:b w:val="0"/>
          <w:i w:val="0"/>
          <w:smallCaps w:val="0"/>
          <w:strike w:val="0"/>
          <w:sz w:val="22"/>
          <w:highlight w:val="cyan"/>
          <w:u w:val="single"/>
        </w:rPr>
        <w:t>enterprise</w:t>
      </w:r>
      <w:r>
        <w:rPr>
          <w:b w:val="0"/>
          <w:i w:val="0"/>
          <w:smallCaps w:val="0"/>
          <w:strike w:val="0"/>
          <w:sz w:val="16"/>
          <w:u w:val="none"/>
        </w:rPr>
        <w:t xml:space="preserve">. </w:t>
      </w:r>
      <w:r>
        <w:rPr>
          <w:b w:val="0"/>
          <w:i w:val="0"/>
          <w:smallCaps w:val="0"/>
          <w:strike w:val="0"/>
          <w:sz w:val="22"/>
          <w:u w:val="single"/>
        </w:rPr>
        <w:t>Today’s</w:t>
      </w:r>
      <w:r>
        <w:rPr>
          <w:b w:val="0"/>
          <w:i w:val="0"/>
          <w:smallCaps w:val="0"/>
          <w:strike w:val="0"/>
          <w:sz w:val="16"/>
          <w:u w:val="none"/>
        </w:rPr>
        <w:t xml:space="preserve"> morass of </w:t>
      </w:r>
      <w:r>
        <w:rPr>
          <w:b w:val="0"/>
          <w:i w:val="0"/>
          <w:smallCaps w:val="0"/>
          <w:strike w:val="0"/>
          <w:sz w:val="22"/>
          <w:u w:val="single"/>
        </w:rPr>
        <w:t>regulations</w:t>
      </w:r>
      <w:r>
        <w:rPr>
          <w:b w:val="0"/>
          <w:i w:val="0"/>
          <w:smallCaps w:val="0"/>
          <w:strike w:val="0"/>
          <w:sz w:val="16"/>
          <w:u w:val="none"/>
        </w:rPr>
        <w:t xml:space="preserve">, aggravated and </w:t>
      </w:r>
      <w:r>
        <w:rPr>
          <w:b w:val="0"/>
          <w:i w:val="0"/>
          <w:smallCaps w:val="0"/>
          <w:strike w:val="0"/>
          <w:sz w:val="22"/>
          <w:u w:val="single"/>
        </w:rPr>
        <w:t>encouraged by the expansion of Chevron</w:t>
      </w:r>
      <w:r>
        <w:rPr>
          <w:b w:val="0"/>
          <w:i w:val="0"/>
          <w:smallCaps w:val="0"/>
          <w:strike w:val="0"/>
          <w:sz w:val="16"/>
          <w:u w:val="none"/>
        </w:rPr>
        <w:t xml:space="preserve">, </w:t>
      </w:r>
      <w:r>
        <w:rPr>
          <w:b w:val="0"/>
          <w:i w:val="0"/>
          <w:smallCaps w:val="0"/>
          <w:strike w:val="0"/>
          <w:sz w:val="22"/>
          <w:highlight w:val="cyan"/>
          <w:u w:val="single"/>
        </w:rPr>
        <w:t>imposes</w:t>
      </w:r>
      <w:r>
        <w:rPr>
          <w:b w:val="0"/>
          <w:i w:val="0"/>
          <w:smallCaps w:val="0"/>
          <w:strike w:val="0"/>
          <w:sz w:val="22"/>
          <w:u w:val="single"/>
        </w:rPr>
        <w:t xml:space="preserve"> astronomical </w:t>
      </w:r>
      <w:r>
        <w:rPr>
          <w:b/>
          <w:i w:val="0"/>
          <w:smallCaps w:val="0"/>
          <w:strike w:val="0"/>
          <w:sz w:val="22"/>
          <w:highlight w:val="cyan"/>
          <w:u w:val="single"/>
        </w:rPr>
        <w:t>costs</w:t>
      </w:r>
      <w:r>
        <w:rPr>
          <w:b w:val="0"/>
          <w:i w:val="0"/>
          <w:smallCaps w:val="0"/>
          <w:strike w:val="0"/>
          <w:sz w:val="22"/>
          <w:highlight w:val="cyan"/>
          <w:u w:val="single"/>
        </w:rPr>
        <w:t xml:space="preserve"> in </w:t>
      </w:r>
      <w:r>
        <w:rPr>
          <w:b/>
          <w:i w:val="0"/>
          <w:smallCaps w:val="0"/>
          <w:strike w:val="0"/>
          <w:sz w:val="22"/>
          <w:highlight w:val="cyan"/>
          <w:u w:val="single"/>
        </w:rPr>
        <w:t>compliance</w:t>
      </w:r>
      <w:r>
        <w:rPr>
          <w:b w:val="0"/>
          <w:i w:val="0"/>
          <w:smallCaps w:val="0"/>
          <w:strike w:val="0"/>
          <w:sz w:val="16"/>
          <w:highlight w:val="cyan"/>
          <w:u w:val="none"/>
        </w:rPr>
        <w:t xml:space="preserve">, </w:t>
      </w:r>
      <w:r>
        <w:rPr>
          <w:b/>
          <w:i w:val="0"/>
          <w:smallCaps w:val="0"/>
          <w:strike w:val="0"/>
          <w:sz w:val="22"/>
          <w:highlight w:val="cyan"/>
          <w:u w:val="single"/>
        </w:rPr>
        <w:t>lost productivity</w:t>
      </w:r>
      <w:r>
        <w:rPr>
          <w:b w:val="0"/>
          <w:i w:val="0"/>
          <w:smallCaps w:val="0"/>
          <w:strike w:val="0"/>
          <w:sz w:val="16"/>
          <w:highlight w:val="cyan"/>
          <w:u w:val="none"/>
        </w:rPr>
        <w:t xml:space="preserve">, </w:t>
      </w:r>
      <w:r>
        <w:rPr>
          <w:b w:val="0"/>
          <w:i w:val="0"/>
          <w:smallCaps w:val="0"/>
          <w:strike w:val="0"/>
          <w:sz w:val="22"/>
          <w:highlight w:val="cyan"/>
          <w:u w:val="single"/>
        </w:rPr>
        <w:t xml:space="preserve">and </w:t>
      </w:r>
      <w:r>
        <w:rPr>
          <w:b/>
          <w:i w:val="0"/>
          <w:smallCaps w:val="0"/>
          <w:strike w:val="0"/>
          <w:sz w:val="22"/>
          <w:highlight w:val="cyan"/>
          <w:u w:val="single"/>
        </w:rPr>
        <w:t>higher prices</w:t>
      </w:r>
      <w:r>
        <w:rPr>
          <w:b w:val="0"/>
          <w:i w:val="0"/>
          <w:smallCaps w:val="0"/>
          <w:strike w:val="0"/>
          <w:sz w:val="16"/>
          <w:u w:val="none"/>
        </w:rPr>
        <w:t xml:space="preserve">, </w:t>
      </w:r>
      <w:r>
        <w:rPr>
          <w:b w:val="0"/>
          <w:i w:val="0"/>
          <w:smallCaps w:val="0"/>
          <w:strike w:val="0"/>
          <w:sz w:val="22"/>
          <w:u w:val="single"/>
        </w:rPr>
        <w:t>reaching</w:t>
      </w:r>
      <w:r>
        <w:rPr>
          <w:b w:val="0"/>
          <w:i w:val="0"/>
          <w:smallCaps w:val="0"/>
          <w:strike w:val="0"/>
          <w:sz w:val="16"/>
          <w:u w:val="none"/>
        </w:rPr>
        <w:t xml:space="preserve"> as high as </w:t>
      </w:r>
      <w:r>
        <w:rPr>
          <w:b/>
          <w:i w:val="0"/>
          <w:smallCaps w:val="0"/>
          <w:strike w:val="0"/>
          <w:sz w:val="22"/>
          <w:u w:val="single"/>
        </w:rPr>
        <w:t>$1.9 trillion</w:t>
      </w:r>
      <w:r>
        <w:rPr>
          <w:b w:val="0"/>
          <w:i w:val="0"/>
          <w:smallCaps w:val="0"/>
          <w:strike w:val="0"/>
          <w:sz w:val="22"/>
          <w:u w:val="single"/>
        </w:rPr>
        <w:t xml:space="preserve"> per year</w:t>
      </w:r>
      <w:r>
        <w:rPr>
          <w:b w:val="0"/>
          <w:i w:val="0"/>
          <w:smallCaps w:val="0"/>
          <w:strike w:val="0"/>
          <w:sz w:val="16"/>
          <w:u w:val="none"/>
        </w:rPr>
        <w:t xml:space="preserve">. See generally U.S. Chamber of Com. Found., The Regulatory Impact on Small Business: Complex. Cumbersome. Costly. 4 (2017). The </w:t>
      </w:r>
      <w:r>
        <w:rPr>
          <w:b w:val="0"/>
          <w:i w:val="0"/>
          <w:smallCaps w:val="0"/>
          <w:strike w:val="0"/>
          <w:sz w:val="22"/>
          <w:u w:val="single"/>
        </w:rPr>
        <w:t>costs are higher on average for smaller businesses</w:t>
      </w:r>
      <w:r>
        <w:rPr>
          <w:b w:val="0"/>
          <w:i w:val="0"/>
          <w:smallCaps w:val="0"/>
          <w:strike w:val="0"/>
          <w:sz w:val="16"/>
          <w:u w:val="none"/>
        </w:rPr>
        <w:t xml:space="preserve">. Id. </w:t>
      </w:r>
      <w:r>
        <w:rPr>
          <w:b w:val="0"/>
          <w:i w:val="0"/>
          <w:smallCaps w:val="0"/>
          <w:strike w:val="0"/>
          <w:sz w:val="22"/>
          <w:u w:val="single"/>
        </w:rPr>
        <w:t>The current Chevron regime</w:t>
      </w:r>
      <w:r>
        <w:rPr>
          <w:b w:val="0"/>
          <w:i w:val="0"/>
          <w:smallCaps w:val="0"/>
          <w:strike w:val="0"/>
          <w:sz w:val="16"/>
          <w:u w:val="none"/>
        </w:rPr>
        <w:t xml:space="preserve"> also </w:t>
      </w:r>
      <w:r>
        <w:rPr>
          <w:b/>
          <w:i w:val="0"/>
          <w:smallCaps w:val="0"/>
          <w:strike w:val="0"/>
          <w:sz w:val="22"/>
          <w:highlight w:val="cyan"/>
          <w:u w:val="single"/>
        </w:rPr>
        <w:t>undermines stability</w:t>
      </w:r>
      <w:r>
        <w:rPr>
          <w:b w:val="0"/>
          <w:i w:val="0"/>
          <w:smallCaps w:val="0"/>
          <w:strike w:val="0"/>
          <w:sz w:val="22"/>
          <w:u w:val="single"/>
        </w:rPr>
        <w:t xml:space="preserve"> and </w:t>
      </w:r>
      <w:r>
        <w:rPr>
          <w:b/>
          <w:i w:val="0"/>
          <w:smallCaps w:val="0"/>
          <w:strike w:val="0"/>
          <w:sz w:val="22"/>
          <w:u w:val="single"/>
        </w:rPr>
        <w:t>predictability</w:t>
      </w:r>
      <w:r>
        <w:rPr>
          <w:b w:val="0"/>
          <w:i w:val="0"/>
          <w:smallCaps w:val="0"/>
          <w:strike w:val="0"/>
          <w:sz w:val="22"/>
          <w:u w:val="single"/>
        </w:rPr>
        <w:t xml:space="preserve"> </w:t>
      </w:r>
      <w:r>
        <w:rPr>
          <w:b w:val="0"/>
          <w:i w:val="0"/>
          <w:smallCaps w:val="0"/>
          <w:strike w:val="0"/>
          <w:sz w:val="22"/>
          <w:u w:val="single"/>
        </w:rPr>
        <w:t xml:space="preserve">for </w:t>
      </w:r>
      <w:r>
        <w:rPr>
          <w:b w:val="0"/>
          <w:i w:val="0"/>
          <w:smallCaps w:val="0"/>
          <w:strike w:val="0"/>
          <w:sz w:val="22"/>
          <w:highlight w:val="cyan"/>
          <w:u w:val="single"/>
        </w:rPr>
        <w:t>businesses</w:t>
      </w:r>
      <w:r>
        <w:rPr>
          <w:b w:val="0"/>
          <w:i w:val="0"/>
          <w:smallCaps w:val="0"/>
          <w:strike w:val="0"/>
          <w:sz w:val="22"/>
          <w:u w:val="single"/>
        </w:rPr>
        <w:t xml:space="preserve"> because they </w:t>
      </w:r>
      <w:r>
        <w:rPr>
          <w:b/>
          <w:i w:val="0"/>
          <w:smallCaps w:val="0"/>
          <w:strike w:val="0"/>
          <w:sz w:val="22"/>
          <w:highlight w:val="cyan"/>
          <w:u w:val="single"/>
        </w:rPr>
        <w:t>can</w:t>
      </w:r>
      <w:r>
        <w:rPr>
          <w:b/>
          <w:i w:val="0"/>
          <w:smallCaps w:val="0"/>
          <w:strike w:val="0"/>
          <w:sz w:val="22"/>
          <w:u w:val="single"/>
        </w:rPr>
        <w:t>no</w:t>
      </w:r>
      <w:r>
        <w:rPr>
          <w:b/>
          <w:i w:val="0"/>
          <w:smallCaps w:val="0"/>
          <w:strike w:val="0"/>
          <w:sz w:val="22"/>
          <w:highlight w:val="cyan"/>
          <w:u w:val="single"/>
        </w:rPr>
        <w:t>t</w:t>
      </w:r>
      <w:r>
        <w:rPr>
          <w:b w:val="0"/>
          <w:i w:val="0"/>
          <w:smallCaps w:val="0"/>
          <w:strike w:val="0"/>
          <w:sz w:val="22"/>
          <w:highlight w:val="cyan"/>
          <w:u w:val="single"/>
        </w:rPr>
        <w:t xml:space="preserve"> ascertain</w:t>
      </w:r>
      <w:r>
        <w:rPr>
          <w:b w:val="0"/>
          <w:i w:val="0"/>
          <w:smallCaps w:val="0"/>
          <w:strike w:val="0"/>
          <w:sz w:val="22"/>
          <w:u w:val="single"/>
        </w:rPr>
        <w:t xml:space="preserve"> their </w:t>
      </w:r>
      <w:r>
        <w:rPr>
          <w:b/>
          <w:i w:val="0"/>
          <w:smallCaps w:val="0"/>
          <w:strike w:val="0"/>
          <w:sz w:val="22"/>
          <w:u w:val="single"/>
        </w:rPr>
        <w:t xml:space="preserve">regulatory </w:t>
      </w:r>
      <w:r>
        <w:rPr>
          <w:b/>
          <w:i w:val="0"/>
          <w:smallCaps w:val="0"/>
          <w:strike w:val="0"/>
          <w:sz w:val="22"/>
          <w:highlight w:val="cyan"/>
          <w:u w:val="single"/>
        </w:rPr>
        <w:t>obligations</w:t>
      </w:r>
      <w:r>
        <w:rPr>
          <w:b w:val="0"/>
          <w:i w:val="0"/>
          <w:smallCaps w:val="0"/>
          <w:strike w:val="0"/>
          <w:sz w:val="22"/>
          <w:u w:val="single"/>
        </w:rPr>
        <w:t xml:space="preserve"> based on</w:t>
      </w:r>
      <w:r>
        <w:rPr>
          <w:b w:val="0"/>
          <w:i w:val="0"/>
          <w:smallCaps w:val="0"/>
          <w:strike w:val="0"/>
          <w:sz w:val="22"/>
          <w:u w:val="single"/>
        </w:rPr>
        <w:t xml:space="preserve"> the </w:t>
      </w:r>
      <w:r>
        <w:rPr>
          <w:b w:val="0"/>
          <w:i w:val="0"/>
          <w:smallCaps w:val="0"/>
          <w:strike w:val="0"/>
          <w:sz w:val="22"/>
          <w:u w:val="single"/>
        </w:rPr>
        <w:t>laws</w:t>
      </w:r>
      <w:r>
        <w:rPr>
          <w:b w:val="0"/>
          <w:i w:val="0"/>
          <w:smallCaps w:val="0"/>
          <w:strike w:val="0"/>
          <w:sz w:val="22"/>
          <w:u w:val="single"/>
        </w:rPr>
        <w:t xml:space="preserve"> that Congress has enacted</w:t>
      </w:r>
      <w:r>
        <w:rPr>
          <w:b w:val="0"/>
          <w:i w:val="0"/>
          <w:smallCaps w:val="0"/>
          <w:strike w:val="0"/>
          <w:sz w:val="16"/>
          <w:u w:val="none"/>
        </w:rPr>
        <w:t xml:space="preserve">. Rather, </w:t>
      </w:r>
      <w:r>
        <w:rPr>
          <w:b w:val="0"/>
          <w:i w:val="0"/>
          <w:smallCaps w:val="0"/>
          <w:strike w:val="0"/>
          <w:sz w:val="22"/>
          <w:u w:val="single"/>
        </w:rPr>
        <w:t>regulatory obligations today turn on unstable agency statutory interpretations</w:t>
      </w:r>
      <w:r>
        <w:rPr>
          <w:b w:val="0"/>
          <w:i w:val="0"/>
          <w:smallCaps w:val="0"/>
          <w:strike w:val="0"/>
          <w:sz w:val="16"/>
          <w:u w:val="none"/>
        </w:rPr>
        <w:t xml:space="preserve">, sometimes through prospective rulemaking and other times without any prior notice at all, in after-the-fact </w:t>
      </w:r>
      <w:r>
        <w:rPr>
          <w:b w:val="0"/>
          <w:i w:val="0"/>
          <w:smallCaps w:val="0"/>
          <w:strike w:val="0"/>
          <w:sz w:val="16"/>
          <w:u w:val="none"/>
        </w:rPr>
        <w:t xml:space="preserve">adjudications. </w:t>
      </w:r>
      <w:r>
        <w:rPr>
          <w:b w:val="0"/>
          <w:i w:val="0"/>
          <w:smallCaps w:val="0"/>
          <w:strike w:val="0"/>
          <w:sz w:val="14"/>
          <w:u w:val="none"/>
        </w:rPr>
        <w:t>W</w:t>
      </w:r>
      <w:r>
        <w:rPr>
          <w:b w:val="0"/>
          <w:i w:val="0"/>
          <w:smallCaps w:val="0"/>
          <w:strike w:val="0"/>
          <w:sz w:val="16"/>
          <w:u w:val="none"/>
        </w:rPr>
        <w:t>hen the stakes are high or politically controversial</w:t>
      </w:r>
      <w:r>
        <w:rPr>
          <w:b w:val="0"/>
          <w:i w:val="0"/>
          <w:smallCaps w:val="0"/>
          <w:strike w:val="0"/>
          <w:sz w:val="16"/>
          <w:u w:val="none"/>
        </w:rPr>
        <w:t xml:space="preserve">, the risk of </w:t>
      </w:r>
      <w:r>
        <w:rPr>
          <w:b/>
          <w:i w:val="0"/>
          <w:smallCaps w:val="0"/>
          <w:strike w:val="0"/>
          <w:sz w:val="22"/>
          <w:highlight w:val="cyan"/>
          <w:u w:val="single"/>
        </w:rPr>
        <w:t>instability</w:t>
      </w:r>
      <w:r>
        <w:rPr>
          <w:b w:val="0"/>
          <w:i w:val="0"/>
          <w:smallCaps w:val="0"/>
          <w:strike w:val="0"/>
          <w:sz w:val="16"/>
          <w:u w:val="none"/>
        </w:rPr>
        <w:t xml:space="preserve"> only </w:t>
      </w:r>
      <w:r>
        <w:rPr>
          <w:b/>
          <w:i w:val="0"/>
          <w:smallCaps w:val="0"/>
          <w:strike w:val="0"/>
          <w:sz w:val="22"/>
          <w:highlight w:val="cyan"/>
          <w:u w:val="single"/>
        </w:rPr>
        <w:t>increases</w:t>
      </w:r>
      <w:r>
        <w:rPr>
          <w:b w:val="0"/>
          <w:i w:val="0"/>
          <w:smallCaps w:val="0"/>
          <w:strike w:val="0"/>
          <w:sz w:val="16"/>
          <w:highlight w:val="cyan"/>
          <w:u w:val="none"/>
        </w:rPr>
        <w:t xml:space="preserve">, </w:t>
      </w:r>
      <w:r>
        <w:rPr>
          <w:b w:val="0"/>
          <w:i w:val="0"/>
          <w:smallCaps w:val="0"/>
          <w:strike w:val="0"/>
          <w:sz w:val="22"/>
          <w:highlight w:val="cyan"/>
          <w:u w:val="single"/>
        </w:rPr>
        <w:t xml:space="preserve">as agency leadership </w:t>
      </w:r>
      <w:r>
        <w:rPr>
          <w:b/>
          <w:i w:val="0"/>
          <w:smallCaps w:val="0"/>
          <w:strike w:val="0"/>
          <w:sz w:val="22"/>
          <w:highlight w:val="cyan"/>
          <w:u w:val="single"/>
        </w:rPr>
        <w:t>changes</w:t>
      </w:r>
      <w:r>
        <w:rPr>
          <w:b w:val="0"/>
          <w:i w:val="0"/>
          <w:smallCaps w:val="0"/>
          <w:strike w:val="0"/>
          <w:sz w:val="22"/>
          <w:u w:val="single"/>
        </w:rPr>
        <w:t xml:space="preserve"> from administration to administration</w:t>
      </w:r>
      <w:r>
        <w:rPr>
          <w:b w:val="0"/>
          <w:i w:val="0"/>
          <w:smallCaps w:val="0"/>
          <w:strike w:val="0"/>
          <w:sz w:val="16"/>
          <w:u w:val="none"/>
        </w:rPr>
        <w:t>. See, e.g., Sackett v. EPA, 143 S. Ct. 1322, 1332–35 (2023) (discussing long history of EPA and U.S. Army’s changing interpretations of “waters of the United States” in the Clean Water Act, 33 U.S.C. § 1362(7)); West Virginia, 142 S. Ct. at 2603– 06 (discussing EPA’s reversal from one administration to another on regulation of power plants’ carbon dioxide emissions).</w:t>
      </w:r>
    </w:p>
    <w:p>
      <w:pPr>
        <w:spacing w:after="60"/>
      </w:pPr>
      <w:r>
        <w:rPr>
          <w:b w:val="0"/>
          <w:i w:val="0"/>
          <w:smallCaps w:val="0"/>
          <w:strike w:val="0"/>
          <w:sz w:val="16"/>
          <w:u w:val="none"/>
        </w:rPr>
        <w:t xml:space="preserve">The citizenry’s ability to elect congressional representatives means little “if the laws be so voluminous that they cannot be read, or so incoherent that they cannot be understood; if they be repealed or revised before they are </w:t>
      </w:r>
      <w:r>
        <w:rPr>
          <w:b w:val="0"/>
          <w:i w:val="0"/>
          <w:smallCaps w:val="0"/>
          <w:strike w:val="0"/>
          <w:sz w:val="16"/>
          <w:u w:val="none"/>
        </w:rPr>
        <w:t>promulgated, or</w:t>
      </w:r>
      <w:r>
        <w:rPr>
          <w:b w:val="0"/>
          <w:i w:val="0"/>
          <w:smallCaps w:val="0"/>
          <w:strike w:val="0"/>
          <w:sz w:val="16"/>
          <w:u w:val="none"/>
        </w:rPr>
        <w:t xml:space="preserve"> undergo such incessant changes” that one must guess at their content. The Federalist No. 62, at 379 (Madison). Today’s regulatory environment is not far from fitting that description. </w:t>
      </w:r>
      <w:r>
        <w:rPr>
          <w:b w:val="0"/>
          <w:i w:val="0"/>
          <w:smallCaps w:val="0"/>
          <w:strike w:val="0"/>
          <w:sz w:val="22"/>
          <w:u w:val="single"/>
        </w:rPr>
        <w:t>The endless cycle of</w:t>
      </w:r>
      <w:r>
        <w:rPr>
          <w:b w:val="0"/>
          <w:i w:val="0"/>
          <w:smallCaps w:val="0"/>
          <w:strike w:val="0"/>
          <w:sz w:val="16"/>
          <w:u w:val="none"/>
        </w:rPr>
        <w:t xml:space="preserve"> what amounts to </w:t>
      </w:r>
      <w:r>
        <w:rPr>
          <w:b w:val="0"/>
          <w:i w:val="0"/>
          <w:smallCaps w:val="0"/>
          <w:strike w:val="0"/>
          <w:sz w:val="22"/>
          <w:u w:val="single"/>
        </w:rPr>
        <w:t xml:space="preserve">Executive Branch lawmaking </w:t>
      </w:r>
      <w:r>
        <w:rPr>
          <w:b w:val="0"/>
          <w:i w:val="0"/>
          <w:smallCaps w:val="0"/>
          <w:strike w:val="0"/>
          <w:sz w:val="22"/>
          <w:highlight w:val="cyan"/>
          <w:u w:val="single"/>
        </w:rPr>
        <w:t xml:space="preserve">raises </w:t>
      </w:r>
      <w:r>
        <w:rPr>
          <w:b/>
          <w:i w:val="0"/>
          <w:smallCaps w:val="0"/>
          <w:strike w:val="0"/>
          <w:sz w:val="22"/>
          <w:highlight w:val="cyan"/>
          <w:u w:val="single"/>
        </w:rPr>
        <w:t>transaction costs</w:t>
      </w:r>
      <w:r>
        <w:rPr>
          <w:b/>
          <w:i w:val="0"/>
          <w:smallCaps w:val="0"/>
          <w:strike w:val="0"/>
          <w:sz w:val="22"/>
          <w:u w:val="single"/>
        </w:rPr>
        <w:t xml:space="preserve"> </w:t>
      </w:r>
      <w:r>
        <w:rPr>
          <w:b w:val="0"/>
          <w:i w:val="0"/>
          <w:smallCaps w:val="0"/>
          <w:strike w:val="0"/>
          <w:sz w:val="22"/>
          <w:u w:val="single"/>
        </w:rPr>
        <w:t xml:space="preserve">for businesses </w:t>
      </w:r>
      <w:r>
        <w:rPr>
          <w:b w:val="0"/>
          <w:i w:val="0"/>
          <w:smallCaps w:val="0"/>
          <w:strike w:val="0"/>
          <w:sz w:val="22"/>
          <w:highlight w:val="cyan"/>
          <w:u w:val="single"/>
        </w:rPr>
        <w:t xml:space="preserve">by introducing </w:t>
      </w:r>
      <w:r>
        <w:rPr>
          <w:b/>
          <w:i w:val="0"/>
          <w:smallCaps w:val="0"/>
          <w:strike w:val="0"/>
          <w:sz w:val="22"/>
          <w:highlight w:val="cyan"/>
          <w:u w:val="single"/>
        </w:rPr>
        <w:t>unresolvable</w:t>
      </w:r>
      <w:r>
        <w:rPr>
          <w:b/>
          <w:i w:val="0"/>
          <w:smallCaps w:val="0"/>
          <w:strike w:val="0"/>
          <w:sz w:val="22"/>
          <w:u w:val="single"/>
        </w:rPr>
        <w:t xml:space="preserve"> regulatory </w:t>
      </w:r>
      <w:r>
        <w:rPr>
          <w:b/>
          <w:i w:val="0"/>
          <w:smallCaps w:val="0"/>
          <w:strike w:val="0"/>
          <w:sz w:val="22"/>
          <w:highlight w:val="cyan"/>
          <w:u w:val="single"/>
        </w:rPr>
        <w:t>instability</w:t>
      </w:r>
      <w:r>
        <w:rPr>
          <w:b w:val="0"/>
          <w:i w:val="0"/>
          <w:smallCaps w:val="0"/>
          <w:strike w:val="0"/>
          <w:sz w:val="22"/>
          <w:u w:val="single"/>
        </w:rPr>
        <w:t xml:space="preserve"> into investment</w:t>
      </w:r>
      <w:r>
        <w:rPr>
          <w:b w:val="0"/>
          <w:i w:val="0"/>
          <w:smallCaps w:val="0"/>
          <w:strike w:val="0"/>
          <w:sz w:val="16"/>
          <w:u w:val="none"/>
        </w:rPr>
        <w:t xml:space="preserve"> and strategic decisions. </w:t>
      </w:r>
      <w:r>
        <w:rPr>
          <w:b w:val="0"/>
          <w:i w:val="0"/>
          <w:smallCaps w:val="0"/>
          <w:strike w:val="0"/>
          <w:sz w:val="22"/>
          <w:highlight w:val="cyan"/>
          <w:u w:val="single"/>
        </w:rPr>
        <w:t>When agencies</w:t>
      </w:r>
      <w:r>
        <w:rPr>
          <w:b w:val="0"/>
          <w:i w:val="0"/>
          <w:smallCaps w:val="0"/>
          <w:strike w:val="0"/>
          <w:sz w:val="16"/>
          <w:u w:val="none"/>
        </w:rPr>
        <w:t xml:space="preserve"> can unilaterally exercise core legislative power by </w:t>
      </w:r>
      <w:r>
        <w:rPr>
          <w:b/>
          <w:i w:val="0"/>
          <w:smallCaps w:val="0"/>
          <w:strike w:val="0"/>
          <w:sz w:val="22"/>
          <w:highlight w:val="cyan"/>
          <w:u w:val="single"/>
        </w:rPr>
        <w:t>exploit</w:t>
      </w:r>
      <w:r>
        <w:rPr>
          <w:b w:val="0"/>
          <w:i w:val="0"/>
          <w:smallCaps w:val="0"/>
          <w:strike w:val="0"/>
          <w:sz w:val="16"/>
          <w:u w:val="none"/>
        </w:rPr>
        <w:t xml:space="preserve">ing </w:t>
      </w:r>
      <w:r>
        <w:rPr>
          <w:b w:val="0"/>
          <w:i w:val="0"/>
          <w:smallCaps w:val="0"/>
          <w:strike w:val="0"/>
          <w:sz w:val="22"/>
          <w:u w:val="single"/>
        </w:rPr>
        <w:t xml:space="preserve">general </w:t>
      </w:r>
      <w:r>
        <w:rPr>
          <w:b w:val="0"/>
          <w:i w:val="0"/>
          <w:smallCaps w:val="0"/>
          <w:strike w:val="0"/>
          <w:sz w:val="22"/>
          <w:highlight w:val="cyan"/>
          <w:u w:val="single"/>
        </w:rPr>
        <w:t>language</w:t>
      </w:r>
      <w:r>
        <w:rPr>
          <w:b w:val="0"/>
          <w:i w:val="0"/>
          <w:smallCaps w:val="0"/>
          <w:strike w:val="0"/>
          <w:sz w:val="22"/>
          <w:u w:val="single"/>
        </w:rPr>
        <w:t xml:space="preserve"> in statutes </w:t>
      </w:r>
      <w:r>
        <w:rPr>
          <w:b w:val="0"/>
          <w:i w:val="0"/>
          <w:smallCaps w:val="0"/>
          <w:strike w:val="0"/>
          <w:sz w:val="22"/>
          <w:highlight w:val="cyan"/>
          <w:u w:val="single"/>
        </w:rPr>
        <w:t>to make rules</w:t>
      </w:r>
      <w:r>
        <w:rPr>
          <w:b w:val="0"/>
          <w:i w:val="0"/>
          <w:smallCaps w:val="0"/>
          <w:strike w:val="0"/>
          <w:sz w:val="22"/>
          <w:u w:val="single"/>
        </w:rPr>
        <w:t xml:space="preserve"> of great economic significance</w:t>
      </w:r>
      <w:r>
        <w:rPr>
          <w:b w:val="0"/>
          <w:i w:val="0"/>
          <w:smallCaps w:val="0"/>
          <w:strike w:val="0"/>
          <w:sz w:val="16"/>
          <w:u w:val="none"/>
        </w:rPr>
        <w:t xml:space="preserve">, </w:t>
      </w:r>
      <w:r>
        <w:rPr>
          <w:b w:val="0"/>
          <w:i w:val="0"/>
          <w:smallCaps w:val="0"/>
          <w:strike w:val="0"/>
          <w:sz w:val="22"/>
          <w:highlight w:val="cyan"/>
          <w:u w:val="single"/>
        </w:rPr>
        <w:t xml:space="preserve">and later </w:t>
      </w:r>
      <w:r>
        <w:rPr>
          <w:b/>
          <w:i w:val="0"/>
          <w:smallCaps w:val="0"/>
          <w:strike w:val="0"/>
          <w:sz w:val="22"/>
          <w:highlight w:val="cyan"/>
          <w:u w:val="single"/>
        </w:rPr>
        <w:t>flip-flop</w:t>
      </w:r>
      <w:r>
        <w:rPr>
          <w:b w:val="0"/>
          <w:i w:val="0"/>
          <w:smallCaps w:val="0"/>
          <w:strike w:val="0"/>
          <w:sz w:val="22"/>
          <w:u w:val="single"/>
        </w:rPr>
        <w:t xml:space="preserve"> on those rules</w:t>
      </w:r>
      <w:r>
        <w:rPr>
          <w:b w:val="0"/>
          <w:i w:val="0"/>
          <w:smallCaps w:val="0"/>
          <w:strike w:val="0"/>
          <w:sz w:val="16"/>
          <w:u w:val="none"/>
        </w:rPr>
        <w:t xml:space="preserve">, </w:t>
      </w:r>
      <w:r>
        <w:rPr>
          <w:b w:val="0"/>
          <w:i w:val="0"/>
          <w:smallCaps w:val="0"/>
          <w:strike w:val="0"/>
          <w:sz w:val="22"/>
          <w:u w:val="single"/>
        </w:rPr>
        <w:t xml:space="preserve">the resulting </w:t>
      </w:r>
      <w:r>
        <w:rPr>
          <w:b/>
          <w:i w:val="0"/>
          <w:smallCaps w:val="0"/>
          <w:strike w:val="0"/>
          <w:sz w:val="22"/>
          <w:highlight w:val="cyan"/>
          <w:u w:val="single"/>
        </w:rPr>
        <w:t>uncertainty</w:t>
      </w:r>
      <w:r>
        <w:rPr>
          <w:b w:val="0"/>
          <w:i w:val="0"/>
          <w:smallCaps w:val="0"/>
          <w:strike w:val="0"/>
          <w:sz w:val="22"/>
          <w:highlight w:val="cyan"/>
          <w:u w:val="single"/>
        </w:rPr>
        <w:t xml:space="preserve"> makes it hard</w:t>
      </w:r>
      <w:r>
        <w:rPr>
          <w:b w:val="0"/>
          <w:i w:val="0"/>
          <w:smallCaps w:val="0"/>
          <w:strike w:val="0"/>
          <w:sz w:val="22"/>
          <w:u w:val="single"/>
        </w:rPr>
        <w:t xml:space="preserve"> for businesses </w:t>
      </w:r>
      <w:r>
        <w:rPr>
          <w:b w:val="0"/>
          <w:i w:val="0"/>
          <w:smallCaps w:val="0"/>
          <w:strike w:val="0"/>
          <w:sz w:val="22"/>
          <w:highlight w:val="cyan"/>
          <w:u w:val="single"/>
        </w:rPr>
        <w:t xml:space="preserve">to </w:t>
      </w:r>
      <w:r>
        <w:rPr>
          <w:b w:val="0"/>
          <w:i w:val="0"/>
          <w:smallCaps w:val="0"/>
          <w:strike w:val="0"/>
          <w:sz w:val="22"/>
          <w:highlight w:val="cyan"/>
          <w:u w:val="single"/>
        </w:rPr>
        <w:t>plan for the future</w:t>
      </w:r>
      <w:r>
        <w:rPr>
          <w:b w:val="0"/>
          <w:i w:val="0"/>
          <w:smallCaps w:val="0"/>
          <w:strike w:val="0"/>
          <w:sz w:val="16"/>
          <w:u w:val="none"/>
        </w:rPr>
        <w:t>.</w:t>
      </w:r>
    </w:p>
    <w:p>
      <w:pPr>
        <w:pStyle w:val="Caption"/>
      </w:pPr>
      <w:r>
        <w:t>Source: Chevron CP - Michigan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