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WHO pool enforcement prevents overlapping that causes policy failure</w:t>
      </w:r>
    </w:p>
    <w:p>
      <w:pPr>
        <w:spacing w:after="80"/>
      </w:pPr>
      <w:r>
        <w:rPr>
          <w:b w:val="0"/>
          <w:i w:val="0"/>
          <w:smallCaps w:val="0"/>
          <w:strike w:val="0"/>
          <w:sz w:val="22"/>
          <w:u w:val="none"/>
        </w:rPr>
        <w:t xml:space="preserve">Allyn L </w:t>
      </w:r>
      <w:r>
        <w:rPr>
          <w:b/>
          <w:i w:val="0"/>
          <w:smallCaps w:val="0"/>
          <w:strike w:val="0"/>
          <w:sz w:val="26"/>
          <w:u w:val="none"/>
        </w:rPr>
        <w:t>Taylor 02</w:t>
      </w:r>
      <w:r>
        <w:rPr>
          <w:b w:val="0"/>
          <w:i w:val="0"/>
          <w:smallCaps w:val="0"/>
          <w:strike w:val="0"/>
          <w:sz w:val="22"/>
          <w:u w:val="none"/>
        </w:rPr>
        <w:t>, Allyn Taylor is an Affiliate professor of law at the University of Washington, 2-1-2002, "(PDF) Global governance, international health law and WHO: Looking towards the future", ResearchGate, https://www.researchgate.net/publication/10913230_Global_governance_international_health_law_and_WHO_Looking_towards_the_future//susu</w:t>
      </w:r>
    </w:p>
    <w:p>
      <w:pPr>
        <w:spacing w:after="60"/>
      </w:pPr>
      <w:r>
        <w:rPr>
          <w:b w:val="0"/>
          <w:i w:val="0"/>
          <w:smallCaps w:val="0"/>
          <w:strike w:val="0"/>
          <w:sz w:val="22"/>
          <w:highlight w:val="cyan"/>
          <w:u w:val="single"/>
        </w:rPr>
        <w:t xml:space="preserve">The WTO’s [TRIPs} </w:t>
      </w:r>
      <w:r>
        <w:rPr>
          <w:b w:val="0"/>
          <w:i w:val="0"/>
          <w:smallCaps w:val="0"/>
          <w:strike w:val="0"/>
          <w:sz w:val="22"/>
          <w:u w:val="none"/>
        </w:rPr>
        <w:t>Convention on Trade-related Aspects of Intellectual Property</w:t>
      </w:r>
      <w:r>
        <w:rPr>
          <w:b w:val="0"/>
          <w:i w:val="0"/>
          <w:smallCaps w:val="0"/>
          <w:strike w:val="0"/>
          <w:sz w:val="22"/>
          <w:highlight w:val="cyan"/>
          <w:u w:val="single"/>
        </w:rPr>
        <w:t xml:space="preserve"> establishes standards for protection of [IP] </w:t>
      </w:r>
      <w:r>
        <w:rPr>
          <w:b w:val="0"/>
          <w:i w:val="0"/>
          <w:smallCaps w:val="0"/>
          <w:strike w:val="0"/>
          <w:sz w:val="22"/>
          <w:u w:val="none"/>
        </w:rPr>
        <w:t>intellectual property applicable</w:t>
      </w:r>
      <w:r>
        <w:rPr>
          <w:b w:val="0"/>
          <w:i w:val="0"/>
          <w:smallCaps w:val="0"/>
          <w:strike w:val="0"/>
          <w:sz w:val="22"/>
          <w:highlight w:val="cyan"/>
          <w:u w:val="single"/>
        </w:rPr>
        <w:t xml:space="preserve"> to biotechnology; </w:t>
      </w:r>
      <w:r>
        <w:rPr>
          <w:b w:val="0"/>
          <w:i w:val="0"/>
          <w:smallCaps w:val="0"/>
          <w:strike w:val="0"/>
          <w:sz w:val="22"/>
          <w:u w:val="none"/>
        </w:rPr>
        <w:t>several other WTO agreements also apply to biotechnology related trade disputes. The United Nations Education, Scientific and Cultural Organization has announced the ‘‘possible preparation’’ of an ‘‘international instrument on genetic data’’ and a ‘‘universal instrument on bioethics’’ as a follow-up to its Universal Declaration on the Human Genome and Human Rights (32); it is unclear whether these proposed instruments would be designed as binding international law. Most recently, in December 2001, the United Nations General Assembly established an Ad Hoc Working Group of the Sixth Committee to consider an international treaty to ban reproductive cloning of human beings (</w:t>
      </w:r>
      <w:r>
        <w:rPr>
          <w:b w:val="0"/>
          <w:i w:val="0"/>
          <w:smallCaps w:val="0"/>
          <w:strike w:val="0"/>
          <w:sz w:val="22"/>
          <w:u w:val="none"/>
        </w:rPr>
        <w:t>20)…</w:t>
      </w:r>
      <w:r>
        <w:rPr>
          <w:b w:val="0"/>
          <w:i w:val="0"/>
          <w:smallCaps w:val="0"/>
          <w:strike w:val="0"/>
          <w:sz w:val="22"/>
          <w:highlight w:val="cyan"/>
          <w:u w:val="single"/>
        </w:rPr>
        <w:t xml:space="preserve">International law in biotechnology is </w:t>
      </w:r>
      <w:r>
        <w:rPr>
          <w:b w:val="0"/>
          <w:i w:val="0"/>
          <w:smallCaps w:val="0"/>
          <w:strike w:val="0"/>
          <w:sz w:val="22"/>
          <w:u w:val="none"/>
        </w:rPr>
        <w:t>thus emerging in a</w:t>
      </w:r>
      <w:r>
        <w:rPr>
          <w:b w:val="0"/>
          <w:i w:val="0"/>
          <w:smallCaps w:val="0"/>
          <w:strike w:val="0"/>
          <w:sz w:val="22"/>
          <w:highlight w:val="cyan"/>
          <w:u w:val="single"/>
        </w:rPr>
        <w:t xml:space="preserve"> fragmented </w:t>
      </w:r>
      <w:r>
        <w:rPr>
          <w:b w:val="0"/>
          <w:i w:val="0"/>
          <w:smallCaps w:val="0"/>
          <w:strike w:val="0"/>
          <w:sz w:val="22"/>
          <w:u w:val="none"/>
        </w:rPr>
        <w:t xml:space="preserve">and amorphous manner in which intergovernmental </w:t>
      </w:r>
      <w:r>
        <w:rPr>
          <w:b w:val="0"/>
          <w:i w:val="0"/>
          <w:smallCaps w:val="0"/>
          <w:strike w:val="0"/>
          <w:sz w:val="22"/>
          <w:highlight w:val="cyan"/>
          <w:u w:val="single"/>
        </w:rPr>
        <w:t xml:space="preserve">organizations with overlapping jurisdictions are addressing sector-specific aspects </w:t>
      </w:r>
      <w:r>
        <w:rPr>
          <w:b w:val="0"/>
          <w:i w:val="0"/>
          <w:smallCaps w:val="0"/>
          <w:strike w:val="0"/>
          <w:sz w:val="22"/>
          <w:u w:val="none"/>
        </w:rPr>
        <w:t>of the genetics revolution</w:t>
      </w:r>
      <w:r>
        <w:rPr>
          <w:b w:val="0"/>
          <w:i w:val="0"/>
          <w:smallCaps w:val="0"/>
          <w:strike w:val="0"/>
          <w:sz w:val="22"/>
          <w:highlight w:val="cyan"/>
          <w:u w:val="single"/>
        </w:rPr>
        <w:t xml:space="preserve"> in a piecemeal </w:t>
      </w:r>
      <w:r>
        <w:rPr>
          <w:b w:val="0"/>
          <w:i w:val="0"/>
          <w:smallCaps w:val="0"/>
          <w:strike w:val="0"/>
          <w:sz w:val="22"/>
          <w:u w:val="none"/>
        </w:rPr>
        <w:t>and incomplete</w:t>
      </w:r>
      <w:r>
        <w:rPr>
          <w:b w:val="0"/>
          <w:i w:val="0"/>
          <w:smallCaps w:val="0"/>
          <w:strike w:val="0"/>
          <w:sz w:val="22"/>
          <w:highlight w:val="cyan"/>
          <w:u w:val="single"/>
        </w:rPr>
        <w:t xml:space="preserve"> manner. The splintered legal process exacerbates uncertainties about the legal regime that governs biotechnology</w:t>
      </w:r>
      <w:r>
        <w:rPr>
          <w:b w:val="0"/>
          <w:i w:val="0"/>
          <w:smallCaps w:val="0"/>
          <w:strike w:val="0"/>
          <w:sz w:val="22"/>
          <w:u w:val="none"/>
        </w:rPr>
        <w:t>. This is partly because standards adopted</w:t>
      </w:r>
      <w:r>
        <w:rPr>
          <w:b w:val="0"/>
          <w:i w:val="0"/>
          <w:smallCaps w:val="0"/>
          <w:strike w:val="0"/>
          <w:sz w:val="22"/>
          <w:highlight w:val="cyan"/>
          <w:u w:val="single"/>
        </w:rPr>
        <w:t xml:space="preserve"> under </w:t>
      </w:r>
      <w:r>
        <w:rPr>
          <w:b w:val="0"/>
          <w:i w:val="0"/>
          <w:smallCaps w:val="0"/>
          <w:strike w:val="0"/>
          <w:sz w:val="22"/>
          <w:u w:val="none"/>
        </w:rPr>
        <w:t xml:space="preserve">the auspices of </w:t>
      </w:r>
      <w:r>
        <w:rPr>
          <w:b w:val="0"/>
          <w:i w:val="0"/>
          <w:smallCaps w:val="0"/>
          <w:strike w:val="0"/>
          <w:sz w:val="22"/>
          <w:highlight w:val="cyan"/>
          <w:u w:val="single"/>
        </w:rPr>
        <w:t xml:space="preserve">different international organizations </w:t>
      </w:r>
      <w:r>
        <w:rPr>
          <w:b w:val="0"/>
          <w:i w:val="0"/>
          <w:smallCaps w:val="0"/>
          <w:strike w:val="0"/>
          <w:sz w:val="22"/>
          <w:u w:val="none"/>
        </w:rPr>
        <w:t xml:space="preserve">are being developed in increasingly contradictory ways, including conflicting legal standards </w:t>
      </w:r>
      <w:r>
        <w:rPr>
          <w:b w:val="0"/>
          <w:i w:val="0"/>
          <w:smallCaps w:val="0"/>
          <w:strike w:val="0"/>
          <w:sz w:val="22"/>
          <w:highlight w:val="cyan"/>
          <w:u w:val="single"/>
        </w:rPr>
        <w:t>related to intellectual property</w:t>
      </w:r>
      <w:r>
        <w:rPr>
          <w:b w:val="0"/>
          <w:i w:val="0"/>
          <w:smallCaps w:val="0"/>
          <w:strike w:val="0"/>
          <w:sz w:val="22"/>
          <w:u w:val="none"/>
        </w:rPr>
        <w:t xml:space="preserve"> (33, 34). The experience of international lawmaking in biotechnology strongly suggests that </w:t>
      </w:r>
      <w:r>
        <w:rPr>
          <w:b w:val="0"/>
          <w:i w:val="0"/>
          <w:smallCaps w:val="0"/>
          <w:strike w:val="0"/>
          <w:sz w:val="22"/>
          <w:highlight w:val="cyan"/>
          <w:u w:val="single"/>
        </w:rPr>
        <w:t xml:space="preserve">the </w:t>
      </w:r>
      <w:r>
        <w:rPr>
          <w:b w:val="0"/>
          <w:i w:val="0"/>
          <w:smallCaps w:val="0"/>
          <w:strike w:val="0"/>
          <w:sz w:val="22"/>
          <w:u w:val="none"/>
        </w:rPr>
        <w:t>current decentralized</w:t>
      </w:r>
      <w:r>
        <w:rPr>
          <w:b w:val="0"/>
          <w:i w:val="0"/>
          <w:smallCaps w:val="0"/>
          <w:strike w:val="0"/>
          <w:sz w:val="22"/>
          <w:highlight w:val="cyan"/>
          <w:u w:val="single"/>
        </w:rPr>
        <w:t xml:space="preserve"> organizational framework is ill-equipped to deal </w:t>
      </w:r>
      <w:r>
        <w:rPr>
          <w:b w:val="0"/>
          <w:i w:val="0"/>
          <w:smallCaps w:val="0"/>
          <w:strike w:val="0"/>
          <w:sz w:val="22"/>
          <w:u w:val="none"/>
        </w:rPr>
        <w:t>with international legal aspects of</w:t>
      </w:r>
      <w:r>
        <w:rPr>
          <w:b w:val="0"/>
          <w:i w:val="0"/>
          <w:smallCaps w:val="0"/>
          <w:strike w:val="0"/>
          <w:sz w:val="22"/>
          <w:highlight w:val="cyan"/>
          <w:u w:val="single"/>
        </w:rPr>
        <w:t xml:space="preserve"> the </w:t>
      </w:r>
      <w:r>
        <w:rPr>
          <w:b w:val="0"/>
          <w:i w:val="0"/>
          <w:smallCaps w:val="0"/>
          <w:strike w:val="0"/>
          <w:sz w:val="22"/>
          <w:u w:val="none"/>
        </w:rPr>
        <w:t xml:space="preserve">massive public </w:t>
      </w:r>
      <w:r>
        <w:rPr>
          <w:b w:val="0"/>
          <w:i w:val="0"/>
          <w:smallCaps w:val="0"/>
          <w:strike w:val="0"/>
          <w:sz w:val="22"/>
          <w:highlight w:val="cyan"/>
          <w:u w:val="single"/>
        </w:rPr>
        <w:t xml:space="preserve">health implications of </w:t>
      </w:r>
      <w:r>
        <w:rPr>
          <w:b w:val="0"/>
          <w:i w:val="0"/>
          <w:smallCaps w:val="0"/>
          <w:strike w:val="0"/>
          <w:sz w:val="22"/>
          <w:u w:val="none"/>
        </w:rPr>
        <w:t>new</w:t>
      </w:r>
      <w:r>
        <w:rPr>
          <w:b w:val="0"/>
          <w:i w:val="0"/>
          <w:smallCaps w:val="0"/>
          <w:strike w:val="0"/>
          <w:sz w:val="22"/>
          <w:highlight w:val="cyan"/>
          <w:u w:val="single"/>
        </w:rPr>
        <w:t xml:space="preserve"> genetic tech</w:t>
      </w:r>
      <w:r>
        <w:rPr>
          <w:b w:val="0"/>
          <w:i w:val="0"/>
          <w:smallCaps w:val="0"/>
          <w:strike w:val="0"/>
          <w:sz w:val="22"/>
          <w:u w:val="none"/>
        </w:rPr>
        <w:t>nologies</w:t>
      </w:r>
      <w:r>
        <w:rPr>
          <w:b w:val="0"/>
          <w:i w:val="0"/>
          <w:smallCaps w:val="0"/>
          <w:strike w:val="0"/>
          <w:sz w:val="22"/>
          <w:highlight w:val="cyan"/>
          <w:u w:val="single"/>
        </w:rPr>
        <w:t xml:space="preserve"> and other </w:t>
      </w:r>
      <w:r>
        <w:rPr>
          <w:b w:val="0"/>
          <w:i w:val="0"/>
          <w:smallCaps w:val="0"/>
          <w:strike w:val="0"/>
          <w:sz w:val="22"/>
          <w:u w:val="none"/>
        </w:rPr>
        <w:t>realms of global</w:t>
      </w:r>
      <w:r>
        <w:rPr>
          <w:b w:val="0"/>
          <w:i w:val="0"/>
          <w:smallCaps w:val="0"/>
          <w:strike w:val="0"/>
          <w:sz w:val="22"/>
          <w:highlight w:val="cyan"/>
          <w:u w:val="single"/>
        </w:rPr>
        <w:t xml:space="preserve"> public health</w:t>
      </w:r>
      <w:r>
        <w:rPr>
          <w:b w:val="0"/>
          <w:i w:val="0"/>
          <w:smallCaps w:val="0"/>
          <w:strike w:val="0"/>
          <w:sz w:val="22"/>
          <w:u w:val="none"/>
        </w:rPr>
        <w:t xml:space="preserve">. Taking the agenda forward: WHO and international health law </w:t>
      </w:r>
      <w:r>
        <w:rPr>
          <w:b w:val="0"/>
          <w:i w:val="0"/>
          <w:smallCaps w:val="0"/>
          <w:strike w:val="0"/>
          <w:sz w:val="22"/>
          <w:u w:val="none"/>
        </w:rPr>
        <w:t>An</w:t>
      </w:r>
      <w:r>
        <w:rPr>
          <w:b w:val="0"/>
          <w:i w:val="0"/>
          <w:smallCaps w:val="0"/>
          <w:strike w:val="0"/>
          <w:sz w:val="22"/>
          <w:u w:val="none"/>
        </w:rPr>
        <w:t xml:space="preserve"> international health law mandate for WHO: coordination and collective management </w:t>
      </w:r>
      <w:r>
        <w:rPr>
          <w:b w:val="0"/>
          <w:i w:val="0"/>
          <w:smallCaps w:val="0"/>
          <w:strike w:val="0"/>
          <w:sz w:val="22"/>
          <w:highlight w:val="cyan"/>
          <w:u w:val="single"/>
        </w:rPr>
        <w:t>A larger role for WHO, involving coordination of</w:t>
      </w:r>
      <w:r>
        <w:rPr>
          <w:b w:val="0"/>
          <w:i w:val="0"/>
          <w:smallCaps w:val="0"/>
          <w:strike w:val="0"/>
          <w:sz w:val="22"/>
          <w:u w:val="none"/>
        </w:rPr>
        <w:t xml:space="preserve"> the </w:t>
      </w:r>
      <w:r>
        <w:rPr>
          <w:b w:val="0"/>
          <w:i w:val="0"/>
          <w:smallCaps w:val="0"/>
          <w:strike w:val="0"/>
          <w:sz w:val="22"/>
          <w:highlight w:val="cyan"/>
          <w:u w:val="single"/>
        </w:rPr>
        <w:t xml:space="preserve">international health law </w:t>
      </w:r>
      <w:r>
        <w:rPr>
          <w:b w:val="0"/>
          <w:i w:val="0"/>
          <w:smallCaps w:val="0"/>
          <w:strike w:val="0"/>
          <w:sz w:val="22"/>
          <w:u w:val="none"/>
        </w:rPr>
        <w:t>enterprise,</w:t>
      </w:r>
      <w:r>
        <w:rPr>
          <w:b w:val="0"/>
          <w:i w:val="0"/>
          <w:smallCaps w:val="0"/>
          <w:strike w:val="0"/>
          <w:sz w:val="22"/>
          <w:highlight w:val="cyan"/>
          <w:u w:val="single"/>
        </w:rPr>
        <w:t xml:space="preserve"> is essential for</w:t>
      </w:r>
      <w:r>
        <w:rPr>
          <w:b w:val="0"/>
          <w:i w:val="0"/>
          <w:smallCaps w:val="0"/>
          <w:strike w:val="0"/>
          <w:sz w:val="22"/>
          <w:u w:val="none"/>
        </w:rPr>
        <w:t xml:space="preserve"> rational development and</w:t>
      </w:r>
      <w:r>
        <w:rPr>
          <w:b w:val="0"/>
          <w:i w:val="0"/>
          <w:smallCaps w:val="0"/>
          <w:strike w:val="0"/>
          <w:sz w:val="22"/>
          <w:highlight w:val="cyan"/>
          <w:u w:val="single"/>
        </w:rPr>
        <w:t xml:space="preserve"> effective implementation of international health</w:t>
      </w:r>
      <w:r>
        <w:rPr>
          <w:b w:val="0"/>
          <w:i w:val="0"/>
          <w:smallCaps w:val="0"/>
          <w:strike w:val="0"/>
          <w:sz w:val="22"/>
          <w:u w:val="none"/>
        </w:rPr>
        <w:t xml:space="preserve"> law</w:t>
      </w:r>
      <w:r>
        <w:rPr>
          <w:b w:val="0"/>
          <w:i w:val="0"/>
          <w:smallCaps w:val="0"/>
          <w:strike w:val="0"/>
          <w:sz w:val="22"/>
          <w:highlight w:val="cyan"/>
          <w:u w:val="single"/>
        </w:rPr>
        <w:t xml:space="preserve"> policy. </w:t>
      </w:r>
    </w:p>
    <w:p>
      <w:pPr>
        <w:pStyle w:val="Caption"/>
      </w:pPr>
      <w:r>
        <w:t>Source: Patent Pools CP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