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solves access and boosts WTO legitimacy- </w:t>
      </w:r>
    </w:p>
    <w:p>
      <w:pPr>
        <w:spacing w:after="80"/>
      </w:pPr>
      <w:r>
        <w:rPr>
          <w:b/>
          <w:i w:val="0"/>
          <w:smallCaps w:val="0"/>
          <w:strike w:val="0"/>
          <w:sz w:val="26"/>
          <w:u w:val="none"/>
        </w:rPr>
        <w:t>Burrone et al 19</w:t>
      </w:r>
      <w:r>
        <w:rPr>
          <w:b w:val="0"/>
          <w:i w:val="0"/>
          <w:smallCaps w:val="0"/>
          <w:strike w:val="0"/>
          <w:sz w:val="16"/>
          <w:u w:val="none"/>
        </w:rPr>
        <w:t xml:space="preserve"> </w:t>
      </w:r>
      <w:r>
        <w:rPr>
          <w:b w:val="0"/>
          <w:i w:val="0"/>
          <w:smallCaps w:val="0"/>
          <w:strike w:val="0"/>
          <w:sz w:val="22"/>
          <w:u w:val="none"/>
        </w:rPr>
        <w:t>Esteban Burrone Member of Medicine Patent Pool], corresponding authors Dzintars Gotham, Andy Gray, Kees de Joncheere, Nicola Magrini, Yehoda M Martei, Charles Gore, and Marie Paule Kienya, Jun 11 2019, “Patent pooling to increase access to essential medicines”, NCBI, Bull World Health Organ 97(8) pp. 575-577, https://www.ncbi.nlm.nih.gov/pmc/articles/PMC6653814/</w:t>
      </w:r>
      <w:r>
        <w:rPr>
          <w:b w:val="0"/>
          <w:i w:val="0"/>
          <w:smallCaps w:val="0"/>
          <w:strike w:val="0"/>
          <w:sz w:val="22"/>
          <w:u w:val="none"/>
        </w:rPr>
        <w:t>/</w:t>
      </w:r>
      <w:r>
        <w:rPr>
          <w:b w:val="0"/>
          <w:i w:val="0"/>
          <w:smallCaps w:val="0"/>
          <w:strike w:val="0"/>
          <w:sz w:val="22"/>
          <w:u w:val="none"/>
        </w:rPr>
        <w:t>susu</w:t>
      </w:r>
    </w:p>
    <w:p>
      <w:pPr>
        <w:spacing w:after="60"/>
      </w:pPr>
      <w:r>
        <w:rPr>
          <w:b w:val="0"/>
          <w:i w:val="0"/>
          <w:smallCaps w:val="0"/>
          <w:strike w:val="0"/>
          <w:sz w:val="22"/>
          <w:u w:val="single"/>
        </w:rPr>
        <w:t xml:space="preserve">One way </w:t>
      </w:r>
      <w:r>
        <w:rPr>
          <w:b w:val="0"/>
          <w:i w:val="0"/>
          <w:smallCaps w:val="0"/>
          <w:strike w:val="0"/>
          <w:sz w:val="22"/>
          <w:highlight w:val="cyan"/>
          <w:u w:val="single"/>
        </w:rPr>
        <w:t xml:space="preserve">to achieve </w:t>
      </w:r>
      <w:r>
        <w:rPr>
          <w:b w:val="0"/>
          <w:i w:val="0"/>
          <w:smallCaps w:val="0"/>
          <w:strike w:val="0"/>
          <w:sz w:val="22"/>
          <w:u w:val="single"/>
        </w:rPr>
        <w:t xml:space="preserve">better </w:t>
      </w:r>
      <w:r>
        <w:rPr>
          <w:b w:val="0"/>
          <w:i w:val="0"/>
          <w:smallCaps w:val="0"/>
          <w:strike w:val="0"/>
          <w:sz w:val="22"/>
          <w:highlight w:val="cyan"/>
          <w:u w:val="single"/>
        </w:rPr>
        <w:t>access to</w:t>
      </w:r>
      <w:r>
        <w:rPr>
          <w:b w:val="0"/>
          <w:i w:val="0"/>
          <w:smallCaps w:val="0"/>
          <w:strike w:val="0"/>
          <w:sz w:val="22"/>
          <w:u w:val="single"/>
        </w:rPr>
        <w:t xml:space="preserve"> new </w:t>
      </w:r>
      <w:r>
        <w:rPr>
          <w:b w:val="0"/>
          <w:i w:val="0"/>
          <w:smallCaps w:val="0"/>
          <w:strike w:val="0"/>
          <w:sz w:val="22"/>
          <w:highlight w:val="cyan"/>
          <w:u w:val="single"/>
        </w:rPr>
        <w:t>medicines is patent pools</w:t>
      </w:r>
      <w:r>
        <w:rPr>
          <w:b w:val="0"/>
          <w:i w:val="0"/>
          <w:smallCaps w:val="0"/>
          <w:strike w:val="0"/>
          <w:sz w:val="16"/>
          <w:highlight w:val="cyan"/>
          <w:u w:val="none"/>
        </w:rPr>
        <w:t xml:space="preserve">, </w:t>
      </w:r>
      <w:r>
        <w:rPr>
          <w:b w:val="0"/>
          <w:i w:val="0"/>
          <w:smallCaps w:val="0"/>
          <w:strike w:val="0"/>
          <w:sz w:val="22"/>
          <w:highlight w:val="cyan"/>
          <w:u w:val="single"/>
        </w:rPr>
        <w:t xml:space="preserve">which allow third parties to acquire </w:t>
      </w:r>
      <w:r>
        <w:rPr>
          <w:b w:val="0"/>
          <w:i w:val="0"/>
          <w:smallCaps w:val="0"/>
          <w:strike w:val="0"/>
          <w:sz w:val="22"/>
          <w:u w:val="single"/>
        </w:rPr>
        <w:t>non-exclusive</w:t>
      </w:r>
      <w:r>
        <w:rPr>
          <w:b w:val="0"/>
          <w:i w:val="0"/>
          <w:smallCaps w:val="0"/>
          <w:strike w:val="0"/>
          <w:sz w:val="22"/>
          <w:highlight w:val="cyan"/>
          <w:u w:val="single"/>
        </w:rPr>
        <w:t xml:space="preserve"> licences for the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needed </w:t>
      </w:r>
      <w:r>
        <w:rPr>
          <w:b w:val="0"/>
          <w:i w:val="0"/>
          <w:smallCaps w:val="0"/>
          <w:strike w:val="0"/>
          <w:sz w:val="22"/>
          <w:u w:val="single"/>
        </w:rPr>
        <w:t>to develop products</w:t>
      </w:r>
      <w:r>
        <w:rPr>
          <w:b w:val="0"/>
          <w:i w:val="0"/>
          <w:smallCaps w:val="0"/>
          <w:strike w:val="0"/>
          <w:sz w:val="16"/>
          <w:u w:val="none"/>
        </w:rPr>
        <w:t xml:space="preserve">. While </w:t>
      </w:r>
      <w:r>
        <w:rPr>
          <w:b w:val="0"/>
          <w:i w:val="0"/>
          <w:smallCaps w:val="0"/>
          <w:strike w:val="0"/>
          <w:sz w:val="22"/>
          <w:highlight w:val="cyan"/>
          <w:u w:val="single"/>
        </w:rPr>
        <w:t>patent pools</w:t>
      </w:r>
      <w:r>
        <w:rPr>
          <w:b w:val="0"/>
          <w:i w:val="0"/>
          <w:smallCaps w:val="0"/>
          <w:strike w:val="0"/>
          <w:sz w:val="16"/>
          <w:u w:val="none"/>
        </w:rPr>
        <w:t xml:space="preserve"> have existed for several decades in other fields of technology, such as in digital technologies, they </w:t>
      </w:r>
      <w:r>
        <w:rPr>
          <w:b w:val="0"/>
          <w:i w:val="0"/>
          <w:smallCaps w:val="0"/>
          <w:strike w:val="0"/>
          <w:sz w:val="22"/>
          <w:highlight w:val="cyan"/>
          <w:u w:val="single"/>
        </w:rPr>
        <w:t>are</w:t>
      </w:r>
      <w:r>
        <w:rPr>
          <w:b w:val="0"/>
          <w:i w:val="0"/>
          <w:smallCaps w:val="0"/>
          <w:strike w:val="0"/>
          <w:sz w:val="22"/>
          <w:u w:val="single"/>
        </w:rPr>
        <w:t xml:space="preserve"> a </w:t>
      </w:r>
      <w:r>
        <w:rPr>
          <w:b w:val="0"/>
          <w:i w:val="0"/>
          <w:smallCaps w:val="0"/>
          <w:strike w:val="0"/>
          <w:sz w:val="22"/>
          <w:highlight w:val="cyan"/>
          <w:u w:val="single"/>
        </w:rPr>
        <w:t>relatively new</w:t>
      </w:r>
      <w:r>
        <w:rPr>
          <w:b w:val="0"/>
          <w:i w:val="0"/>
          <w:smallCaps w:val="0"/>
          <w:strike w:val="0"/>
          <w:sz w:val="22"/>
          <w:u w:val="single"/>
        </w:rPr>
        <w:t xml:space="preserve"> concept in public health</w:t>
      </w:r>
      <w:r>
        <w:rPr>
          <w:b w:val="0"/>
          <w:i w:val="0"/>
          <w:smallCaps w:val="0"/>
          <w:strike w:val="0"/>
          <w:sz w:val="16"/>
          <w:u w:val="none"/>
        </w:rPr>
        <w:t xml:space="preserve">, where </w:t>
      </w:r>
      <w:r>
        <w:rPr>
          <w:b w:val="0"/>
          <w:i w:val="0"/>
          <w:smallCaps w:val="0"/>
          <w:strike w:val="0"/>
          <w:sz w:val="22"/>
          <w:u w:val="single"/>
        </w:rPr>
        <w:t>they have been applied to address some of the access challenges in low- and middle-income countries.</w:t>
      </w:r>
      <w:r>
        <w:rPr>
          <w:b w:val="0"/>
          <w:i w:val="0"/>
          <w:smallCaps w:val="0"/>
          <w:strike w:val="0"/>
          <w:sz w:val="16"/>
          <w:u w:val="none"/>
        </w:rPr>
        <w:t>3</w:t>
      </w:r>
    </w:p>
    <w:p>
      <w:pPr>
        <w:spacing w:after="60"/>
      </w:pPr>
      <w:r>
        <w:rPr>
          <w:b w:val="0"/>
          <w:i w:val="0"/>
          <w:smallCaps w:val="0"/>
          <w:strike w:val="0"/>
          <w:sz w:val="16"/>
          <w:u w:val="none"/>
        </w:rPr>
        <w:t xml:space="preserve">To improve access to antiretroviral treatment </w:t>
      </w:r>
      <w:r>
        <w:rPr>
          <w:b w:val="0"/>
          <w:i w:val="0"/>
          <w:smallCaps w:val="0"/>
          <w:strike w:val="0"/>
          <w:sz w:val="22"/>
          <w:highlight w:val="cyan"/>
          <w:u w:val="single"/>
        </w:rPr>
        <w:t>in low- and middle-income countries, Unitaid established the Medicines Patent Pool</w:t>
      </w:r>
      <w:r>
        <w:rPr>
          <w:b w:val="0"/>
          <w:i w:val="0"/>
          <w:smallCaps w:val="0"/>
          <w:strike w:val="0"/>
          <w:sz w:val="22"/>
          <w:u w:val="single"/>
        </w:rPr>
        <w:t xml:space="preserve"> in 2010 as the first public health patent pool. Later, the patent pool’s mandate was expanded to treatments for tuberculosis and hepatitis C. </w:t>
      </w:r>
      <w:r>
        <w:rPr>
          <w:b w:val="0"/>
          <w:i w:val="0"/>
          <w:smallCaps w:val="0"/>
          <w:strike w:val="0"/>
          <w:sz w:val="22"/>
          <w:highlight w:val="cyan"/>
          <w:u w:val="single"/>
        </w:rPr>
        <w:t>The patent pool has negotiated</w:t>
      </w:r>
      <w:r>
        <w:rPr>
          <w:b w:val="0"/>
          <w:i w:val="0"/>
          <w:smallCaps w:val="0"/>
          <w:strike w:val="0"/>
          <w:sz w:val="22"/>
          <w:u w:val="single"/>
        </w:rPr>
        <w:t xml:space="preserve"> most of the licensing </w:t>
      </w:r>
      <w:r>
        <w:rPr>
          <w:b w:val="0"/>
          <w:i w:val="0"/>
          <w:smallCaps w:val="0"/>
          <w:strike w:val="0"/>
          <w:sz w:val="22"/>
          <w:highlight w:val="cyan"/>
          <w:u w:val="single"/>
        </w:rPr>
        <w:t>agreements</w:t>
      </w:r>
      <w:r>
        <w:rPr>
          <w:b w:val="0"/>
          <w:i w:val="0"/>
          <w:smallCaps w:val="0"/>
          <w:strike w:val="0"/>
          <w:sz w:val="22"/>
          <w:u w:val="single"/>
        </w:rPr>
        <w:t xml:space="preserve"> with pharmaceutical companies </w:t>
      </w:r>
      <w:r>
        <w:rPr>
          <w:b w:val="0"/>
          <w:i w:val="0"/>
          <w:smallCaps w:val="0"/>
          <w:strike w:val="0"/>
          <w:sz w:val="22"/>
          <w:highlight w:val="cyan"/>
          <w:u w:val="single"/>
        </w:rPr>
        <w:t xml:space="preserve">that have enabled </w:t>
      </w:r>
      <w:r>
        <w:rPr>
          <w:b w:val="0"/>
          <w:i w:val="0"/>
          <w:smallCaps w:val="0"/>
          <w:strike w:val="0"/>
          <w:sz w:val="22"/>
          <w:u w:val="single"/>
        </w:rPr>
        <w:t xml:space="preserve">competitive </w:t>
      </w:r>
      <w:r>
        <w:rPr>
          <w:b w:val="0"/>
          <w:i w:val="0"/>
          <w:smallCaps w:val="0"/>
          <w:strike w:val="0"/>
          <w:sz w:val="22"/>
          <w:highlight w:val="cyan"/>
          <w:u w:val="single"/>
        </w:rPr>
        <w:t xml:space="preserve">generic manufacture </w:t>
      </w:r>
      <w:r>
        <w:rPr>
          <w:b w:val="0"/>
          <w:i w:val="0"/>
          <w:smallCaps w:val="0"/>
          <w:strike w:val="0"/>
          <w:sz w:val="22"/>
          <w:u w:val="single"/>
        </w:rPr>
        <w:t>of antiretrovirals</w:t>
      </w:r>
      <w:r>
        <w:rPr>
          <w:b w:val="0"/>
          <w:i w:val="0"/>
          <w:smallCaps w:val="0"/>
          <w:strike w:val="0"/>
          <w:sz w:val="16"/>
          <w:u w:val="none"/>
        </w:rPr>
        <w:t xml:space="preserve"> in low- and middle-income countries before patent expiry. These licences have also facilitated the development of new formulations that are particularly needed in resource-constrained settings, such as certain fixed-dose combinations and paediatric formulations. To date, the patent pool’s generic partners have distributed 22 million patient-years of treatment, allowing global savings of 1.06 billion United States dollars (US$), according to a biannual analysis undertaken by a leading auditing company.4</w:t>
      </w:r>
    </w:p>
    <w:p>
      <w:pPr>
        <w:spacing w:after="60"/>
      </w:pPr>
      <w:r>
        <w:rPr>
          <w:b w:val="0"/>
          <w:i w:val="0"/>
          <w:smallCaps w:val="0"/>
          <w:strike w:val="0"/>
          <w:sz w:val="22"/>
          <w:highlight w:val="cyan"/>
          <w:u w:val="single"/>
        </w:rPr>
        <w:t xml:space="preserve">The </w:t>
      </w:r>
      <w:r>
        <w:rPr>
          <w:b w:val="0"/>
          <w:i w:val="0"/>
          <w:smallCaps w:val="0"/>
          <w:strike w:val="0"/>
          <w:sz w:val="22"/>
          <w:u w:val="single"/>
        </w:rPr>
        <w:t xml:space="preserve">patent pool’s model </w:t>
      </w:r>
      <w:r>
        <w:rPr>
          <w:b w:val="0"/>
          <w:i w:val="0"/>
          <w:smallCaps w:val="0"/>
          <w:strike w:val="0"/>
          <w:sz w:val="22"/>
          <w:highlight w:val="cyan"/>
          <w:u w:val="single"/>
        </w:rPr>
        <w:t>contributes to</w:t>
      </w:r>
      <w:r>
        <w:rPr>
          <w:b w:val="0"/>
          <w:i w:val="0"/>
          <w:smallCaps w:val="0"/>
          <w:strike w:val="0"/>
          <w:sz w:val="22"/>
          <w:u w:val="single"/>
        </w:rPr>
        <w:t xml:space="preserve"> accelerating </w:t>
      </w:r>
      <w:r>
        <w:rPr>
          <w:b w:val="0"/>
          <w:i w:val="0"/>
          <w:smallCaps w:val="0"/>
          <w:strike w:val="0"/>
          <w:sz w:val="22"/>
          <w:highlight w:val="cyan"/>
          <w:u w:val="single"/>
        </w:rPr>
        <w:t xml:space="preserve">affordable access to new, improved treatments </w:t>
      </w:r>
      <w:r>
        <w:rPr>
          <w:b w:val="0"/>
          <w:i w:val="0"/>
          <w:smallCaps w:val="0"/>
          <w:strike w:val="0"/>
          <w:sz w:val="22"/>
          <w:u w:val="single"/>
        </w:rPr>
        <w:t>in low- and middle-income countries in partnership with the pharmaceutical industry</w:t>
      </w:r>
      <w:r>
        <w:rPr>
          <w:b w:val="0"/>
          <w:i w:val="0"/>
          <w:smallCaps w:val="0"/>
          <w:strike w:val="0"/>
          <w:sz w:val="16"/>
          <w:u w:val="none"/>
        </w:rPr>
        <w:t>. To achieve this goal in HIV, licensing arrangements for new medicines considered promising by WHO has sometimes been necessary before their inclusion in WHO’s model list, as in the case of dolutegravir. The patent pool signed a licensing agreement with a pharmaceutical company for dolutegravir in 2014. By the time the medicine was added to WHO’s model list in 2017, several patent pool sub-licensees had filed for approval of generic versions, including a new fixed-dose combination, with the WHO prequalification programme.</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