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People will join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Michael </w:t>
      </w:r>
      <w:r>
        <w:rPr>
          <w:b/>
          <w:i w:val="0"/>
          <w:smallCaps w:val="0"/>
          <w:strike w:val="0"/>
          <w:sz w:val="26"/>
          <w:u w:val="none"/>
        </w:rPr>
        <w:t>Mattioli 13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Michael Mattioli is a professor of law at the U</w:t>
      </w:r>
      <w:r>
        <w:rPr>
          <w:b w:val="0"/>
          <w:i w:val="0"/>
          <w:smallCaps w:val="0"/>
          <w:strike w:val="0"/>
          <w:sz w:val="22"/>
          <w:u w:val="none"/>
        </w:rPr>
        <w:t xml:space="preserve">niversity of </w:t>
      </w:r>
      <w:r>
        <w:rPr>
          <w:b w:val="0"/>
          <w:i w:val="0"/>
          <w:smallCaps w:val="0"/>
          <w:strike w:val="0"/>
          <w:sz w:val="22"/>
          <w:u w:val="none"/>
        </w:rPr>
        <w:t>I</w:t>
      </w:r>
      <w:r>
        <w:rPr>
          <w:b w:val="0"/>
          <w:i w:val="0"/>
          <w:smallCaps w:val="0"/>
          <w:strike w:val="0"/>
          <w:sz w:val="22"/>
          <w:u w:val="none"/>
        </w:rPr>
        <w:t xml:space="preserve">ndiana </w:t>
      </w:r>
      <w:r>
        <w:rPr>
          <w:b w:val="0"/>
          <w:i w:val="0"/>
          <w:smallCaps w:val="0"/>
          <w:strike w:val="0"/>
          <w:sz w:val="22"/>
          <w:u w:val="none"/>
        </w:rPr>
        <w:t>B</w:t>
      </w:r>
      <w:r>
        <w:rPr>
          <w:b w:val="0"/>
          <w:i w:val="0"/>
          <w:smallCaps w:val="0"/>
          <w:strike w:val="0"/>
          <w:sz w:val="22"/>
          <w:u w:val="none"/>
        </w:rPr>
        <w:t>loomington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has a doctorate of law from the University of Pennsylvania, 6-3-2013</w:t>
      </w:r>
      <w:r>
        <w:rPr>
          <w:b w:val="0"/>
          <w:i w:val="0"/>
          <w:smallCaps w:val="0"/>
          <w:strike w:val="0"/>
          <w:sz w:val="22"/>
          <w:u w:val="none"/>
        </w:rPr>
        <w:t>, "Power and Governance in Patent Pools," Digital Repository @ Maurer Law, https://www.repository.law.indiana.edu/facpub/1301//susu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Many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 pools offer important cost savings</w:t>
      </w:r>
      <w:r>
        <w:rPr>
          <w:b/>
          <w:i w:val="0"/>
          <w:smallCaps w:val="0"/>
          <w:strike w:val="0"/>
          <w:sz w:val="22"/>
          <w:u w:val="single"/>
        </w:rPr>
        <w:t xml:space="preserve"> to their members</w:t>
      </w:r>
      <w:r>
        <w:rPr>
          <w:b w:val="0"/>
          <w:i w:val="0"/>
          <w:smallCaps w:val="0"/>
          <w:strike w:val="0"/>
          <w:sz w:val="22"/>
          <w:u w:val="single"/>
        </w:rPr>
        <w:t>. These 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avings include access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shared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immunity from challenges to patent validity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and joint funds to offset litigation and patent prosecution costs.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desire to lower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costs may explain why patent holders voluntarily join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licensing collectives that offer limited control over royalties, and in some cases, no royalties at all.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Nine institutions examined in this study were not structured to collect or to distribute royalties to patent holders.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Instead, these groups were formed purely to </w:t>
      </w:r>
      <w:r>
        <w:rPr>
          <w:b/>
          <w:i w:val="0"/>
          <w:smallCaps w:val="0"/>
          <w:strike w:val="0"/>
          <w:sz w:val="22"/>
          <w:u w:val="single"/>
        </w:rPr>
        <w:t>reduce the risk of patent infringement litigation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requiring each member to provide every other member a royalty-free license to its covered patent rights.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As one would expect, these agreements were formed by companies that were both licensors and prospective licensees — that is, they manufactured potentially infringing products but also held patents of their own.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royalty-free institutional design was first adopted by the Automobile Manufacturers Association (“AMA”) — one of the most significant patent licensing collectives in industrial history. Formed in 1914 by a set of leading automobile manufacturers, the AMA at one time pooled rights to over one thousand automobile patents contributed by hundreds of members. As a condition of membership, automobile makers who joined the AMA promised not to sue one another for patent infringement and were required to license all of their relevant patent rights on a royalty-free basis to all other members. As such, the group was structurally incapable of channeling royalties to would-be innovators.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As a corollary to its institutional design, the AMA did not seek to acquire patent rights to future innovations: Each time the organization’s massive cross-license was renewed, the contract explicitly excluded patents that members might obtain in the future. The AMA’s president testified in a 1938 congressional hearing that this limitation was intended to appease members who were reluctant to part with future patent rights, the value of which was as yet unknown. As a consequence, the AMA did not encourage innovation by offering prospective inventors the promise of collecting royalties.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1935 royalty-free licensing group </w:t>
      </w:r>
      <w:r>
        <w:rPr>
          <w:b w:val="0"/>
          <w:i w:val="0"/>
          <w:smallCaps w:val="0"/>
          <w:strike w:val="0"/>
          <w:sz w:val="22"/>
          <w:u w:val="single"/>
        </w:rPr>
        <w:t>related to petroleum refining provides another helpful example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gr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oup’s five founding members — all large oil companie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— promised to grant non-transferable licenses to a newly formed corporation that acted as the licensing administrator. The members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received no royalties or “moneys” in exchange for these licenses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Instead, each received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royalty-free access to all patents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contributed by the other members and royalty-free access to any future patents acquired by the corporation.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Access to patent rights was the main inducement to join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