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 pools settle IP ownership disputes, reduce transaction costs, facilitate cooperation without changing existing patent law</w:t>
      </w:r>
    </w:p>
    <w:p>
      <w:pPr>
        <w:spacing w:after="80"/>
      </w:pPr>
      <w:r>
        <w:rPr>
          <w:b/>
          <w:i w:val="0"/>
          <w:smallCaps w:val="0"/>
          <w:strike w:val="0"/>
          <w:sz w:val="26"/>
          <w:u w:val="none"/>
        </w:rPr>
        <w:t>DeCamp 7</w:t>
      </w:r>
      <w:r>
        <w:rPr>
          <w:b w:val="0"/>
          <w:i w:val="0"/>
          <w:smallCaps w:val="0"/>
          <w:strike w:val="0"/>
          <w:sz w:val="22"/>
          <w:u w:val="none"/>
        </w:rPr>
        <w:t xml:space="preserve"> (Matthew Wayne DeCamp -- Department of Philosophy @ Duke University, “GLOBAL HEALTH: A NORMATIVE ANALYSIS OF INTELLECTUAL PROPERTY RIGHTS AND GLOBAL DISTRIBUTIVE JUSTICE”, https://dukespace.lib.duke.edu/dspace/bitstream/handle/10161/193/D_DeCamp_Matthew_Wayne_a_052007.pdf?sequence=1, Pgs. 356-358, 25 April 2007,)//susu</w:t>
      </w:r>
    </w:p>
    <w:p>
      <w:pPr>
        <w:spacing w:after="60"/>
      </w:pPr>
      <w:r>
        <w:rPr>
          <w:b/>
          <w:i w:val="0"/>
          <w:smallCaps w:val="0"/>
          <w:strike w:val="0"/>
          <w:sz w:val="22"/>
          <w:highlight w:val="cyan"/>
          <w:u w:val="single"/>
        </w:rPr>
        <w:t>Certain</w:t>
      </w:r>
      <w:r>
        <w:rPr>
          <w:b w:val="0"/>
          <w:i w:val="0"/>
          <w:smallCaps w:val="0"/>
          <w:strike w:val="0"/>
          <w:sz w:val="22"/>
          <w:u w:val="none"/>
        </w:rPr>
        <w:t xml:space="preserve"> </w:t>
      </w:r>
      <w:r>
        <w:rPr>
          <w:b w:val="0"/>
          <w:i w:val="0"/>
          <w:smallCaps w:val="0"/>
          <w:strike w:val="0"/>
          <w:sz w:val="16"/>
          <w:u w:val="none"/>
        </w:rPr>
        <w:t>of the</w:t>
      </w:r>
      <w:r>
        <w:rPr>
          <w:b w:val="0"/>
          <w:i w:val="0"/>
          <w:smallCaps w:val="0"/>
          <w:strike w:val="0"/>
          <w:sz w:val="22"/>
          <w:u w:val="none"/>
        </w:rPr>
        <w:t xml:space="preserve"> </w:t>
      </w:r>
      <w:r>
        <w:rPr>
          <w:b/>
          <w:i w:val="0"/>
          <w:smallCaps w:val="0"/>
          <w:strike w:val="0"/>
          <w:sz w:val="22"/>
          <w:highlight w:val="cyan"/>
          <w:u w:val="single"/>
        </w:rPr>
        <w:t>reforms</w:t>
      </w:r>
      <w:r>
        <w:rPr>
          <w:b w:val="0"/>
          <w:i w:val="0"/>
          <w:smallCaps w:val="0"/>
          <w:strike w:val="0"/>
          <w:sz w:val="22"/>
          <w:u w:val="none"/>
        </w:rPr>
        <w:t xml:space="preserve"> </w:t>
      </w:r>
      <w:r>
        <w:rPr>
          <w:b w:val="0"/>
          <w:i w:val="0"/>
          <w:smallCaps w:val="0"/>
          <w:strike w:val="0"/>
          <w:sz w:val="16"/>
          <w:u w:val="none"/>
        </w:rPr>
        <w:t>noted here</w:t>
      </w:r>
      <w:r>
        <w:rPr>
          <w:b w:val="0"/>
          <w:i w:val="0"/>
          <w:smallCaps w:val="0"/>
          <w:strike w:val="0"/>
          <w:sz w:val="22"/>
          <w:u w:val="none"/>
        </w:rPr>
        <w:t xml:space="preserve"> </w:t>
      </w:r>
      <w:r>
        <w:rPr>
          <w:b/>
          <w:i w:val="0"/>
          <w:smallCaps w:val="0"/>
          <w:strike w:val="0"/>
          <w:sz w:val="22"/>
          <w:highlight w:val="cyan"/>
          <w:u w:val="single"/>
        </w:rPr>
        <w:t>are worthy of consideration</w:t>
      </w:r>
      <w:r>
        <w:rPr>
          <w:b w:val="0"/>
          <w:i w:val="0"/>
          <w:smallCaps w:val="0"/>
          <w:strike w:val="0"/>
          <w:sz w:val="22"/>
          <w:u w:val="none"/>
        </w:rPr>
        <w:t xml:space="preserve"> </w:t>
      </w:r>
      <w:r>
        <w:rPr>
          <w:b w:val="0"/>
          <w:i w:val="0"/>
          <w:smallCaps w:val="0"/>
          <w:strike w:val="0"/>
          <w:sz w:val="16"/>
          <w:u w:val="none"/>
        </w:rPr>
        <w:t>in particular circumstances no matter what</w:t>
      </w:r>
      <w:r>
        <w:rPr>
          <w:b w:val="0"/>
          <w:i w:val="0"/>
          <w:smallCaps w:val="0"/>
          <w:strike w:val="0"/>
          <w:sz w:val="22"/>
          <w:u w:val="none"/>
        </w:rPr>
        <w:t xml:space="preserve">, </w:t>
      </w:r>
      <w:r>
        <w:rPr>
          <w:b/>
          <w:i w:val="0"/>
          <w:smallCaps w:val="0"/>
          <w:strike w:val="0"/>
          <w:sz w:val="22"/>
          <w:highlight w:val="cyan"/>
          <w:u w:val="single"/>
        </w:rPr>
        <w:t>if anything, were to occur with</w:t>
      </w:r>
      <w:r>
        <w:rPr>
          <w:b/>
          <w:i w:val="0"/>
          <w:smallCaps w:val="0"/>
          <w:strike w:val="0"/>
          <w:sz w:val="22"/>
          <w:u w:val="single"/>
        </w:rPr>
        <w:t xml:space="preserve"> global </w:t>
      </w:r>
      <w:r>
        <w:rPr>
          <w:b/>
          <w:i w:val="0"/>
          <w:smallCaps w:val="0"/>
          <w:strike w:val="0"/>
          <w:sz w:val="22"/>
          <w:highlight w:val="cyan"/>
          <w:u w:val="single"/>
        </w:rPr>
        <w:t>IPR reform</w:t>
      </w:r>
      <w:r>
        <w:rPr>
          <w:b/>
          <w:i w:val="0"/>
          <w:smallCaps w:val="0"/>
          <w:strike w:val="0"/>
          <w:sz w:val="22"/>
          <w:u w:val="single"/>
        </w:rPr>
        <w:t>.</w:t>
      </w:r>
      <w:r>
        <w:rPr>
          <w:b w:val="0"/>
          <w:i w:val="0"/>
          <w:smallCaps w:val="0"/>
          <w:strike w:val="0"/>
          <w:sz w:val="22"/>
          <w:u w:val="none"/>
        </w:rPr>
        <w:t xml:space="preserve">  </w:t>
      </w:r>
    </w:p>
    <w:p>
      <w:pPr>
        <w:spacing w:after="60"/>
      </w:pPr>
      <w:r>
        <w:rPr>
          <w:b w:val="0"/>
          <w:i w:val="0"/>
          <w:smallCaps w:val="0"/>
          <w:strike w:val="0"/>
          <w:sz w:val="16"/>
          <w:u w:val="none"/>
        </w:rPr>
        <w:t>Patent Pools.  One can</w:t>
      </w:r>
      <w:r>
        <w:rPr>
          <w:b w:val="0"/>
          <w:i w:val="0"/>
          <w:smallCaps w:val="0"/>
          <w:strike w:val="0"/>
          <w:sz w:val="22"/>
          <w:u w:val="none"/>
        </w:rPr>
        <w:t xml:space="preserve"> </w:t>
      </w:r>
      <w:r>
        <w:rPr>
          <w:b/>
          <w:i w:val="0"/>
          <w:smallCaps w:val="0"/>
          <w:strike w:val="0"/>
          <w:sz w:val="22"/>
          <w:highlight w:val="cyan"/>
          <w:u w:val="single"/>
        </w:rPr>
        <w:t>imagine the utility</w:t>
      </w:r>
      <w:r>
        <w:rPr>
          <w:b/>
          <w:i w:val="0"/>
          <w:smallCaps w:val="0"/>
          <w:strike w:val="0"/>
          <w:sz w:val="22"/>
          <w:u w:val="single"/>
        </w:rPr>
        <w:t xml:space="preserve"> of patent pools</w:t>
      </w:r>
      <w:r>
        <w:rPr>
          <w:b w:val="0"/>
          <w:i w:val="0"/>
          <w:smallCaps w:val="0"/>
          <w:strike w:val="0"/>
          <w:sz w:val="22"/>
          <w:u w:val="none"/>
        </w:rPr>
        <w:t xml:space="preserve"> </w:t>
      </w:r>
      <w:r>
        <w:rPr>
          <w:b w:val="0"/>
          <w:i w:val="0"/>
          <w:smallCaps w:val="0"/>
          <w:strike w:val="0"/>
          <w:sz w:val="16"/>
          <w:u w:val="none"/>
        </w:rPr>
        <w:t>in at least two circumstances.  First,</w:t>
      </w:r>
      <w:r>
        <w:rPr>
          <w:b w:val="0"/>
          <w:i w:val="0"/>
          <w:smallCaps w:val="0"/>
          <w:strike w:val="0"/>
          <w:sz w:val="22"/>
          <w:u w:val="none"/>
        </w:rPr>
        <w:t xml:space="preserve"> </w:t>
      </w:r>
      <w:r>
        <w:rPr>
          <w:b/>
          <w:i w:val="0"/>
          <w:smallCaps w:val="0"/>
          <w:strike w:val="0"/>
          <w:sz w:val="22"/>
          <w:highlight w:val="cyan"/>
          <w:u w:val="single"/>
        </w:rPr>
        <w:t>when</w:t>
      </w:r>
      <w:r>
        <w:rPr>
          <w:b w:val="0"/>
          <w:i w:val="0"/>
          <w:smallCaps w:val="0"/>
          <w:strike w:val="0"/>
          <w:sz w:val="16"/>
          <w:u w:val="none"/>
        </w:rPr>
        <w:t xml:space="preserve"> the existence of multiple IP owners requires coordination, particularly when</w:t>
      </w:r>
      <w:r>
        <w:rPr>
          <w:b w:val="0"/>
          <w:i w:val="0"/>
          <w:smallCaps w:val="0"/>
          <w:strike w:val="0"/>
          <w:sz w:val="22"/>
          <w:u w:val="none"/>
        </w:rPr>
        <w:t xml:space="preserve"> </w:t>
      </w:r>
      <w:r>
        <w:rPr>
          <w:b/>
          <w:i w:val="0"/>
          <w:smallCaps w:val="0"/>
          <w:strike w:val="0"/>
          <w:sz w:val="22"/>
          <w:highlight w:val="cyan"/>
          <w:u w:val="single"/>
        </w:rPr>
        <w:t>the IP</w:t>
      </w:r>
      <w:r>
        <w:rPr>
          <w:b w:val="0"/>
          <w:i w:val="0"/>
          <w:smallCaps w:val="0"/>
          <w:strike w:val="0"/>
          <w:sz w:val="22"/>
          <w:u w:val="single"/>
        </w:rPr>
        <w:t xml:space="preserve"> in question </w:t>
      </w:r>
      <w:r>
        <w:rPr>
          <w:b/>
          <w:i w:val="0"/>
          <w:smallCaps w:val="0"/>
          <w:strike w:val="0"/>
          <w:sz w:val="22"/>
          <w:highlight w:val="cyan"/>
          <w:u w:val="single"/>
        </w:rPr>
        <w:t>is under dispute, patent pools represent a</w:t>
      </w:r>
      <w:r>
        <w:rPr>
          <w:b w:val="0"/>
          <w:i w:val="0"/>
          <w:smallCaps w:val="0"/>
          <w:strike w:val="0"/>
          <w:sz w:val="22"/>
          <w:u w:val="none"/>
        </w:rPr>
        <w:t xml:space="preserve"> </w:t>
      </w:r>
      <w:r>
        <w:rPr>
          <w:b w:val="0"/>
          <w:i w:val="0"/>
          <w:smallCaps w:val="0"/>
          <w:strike w:val="0"/>
          <w:sz w:val="16"/>
          <w:u w:val="none"/>
        </w:rPr>
        <w:t>possible</w:t>
      </w:r>
      <w:r>
        <w:rPr>
          <w:b w:val="0"/>
          <w:i w:val="0"/>
          <w:smallCaps w:val="0"/>
          <w:strike w:val="0"/>
          <w:sz w:val="22"/>
          <w:u w:val="none"/>
        </w:rPr>
        <w:t xml:space="preserve"> </w:t>
      </w:r>
      <w:r>
        <w:rPr>
          <w:b/>
          <w:i w:val="0"/>
          <w:smallCaps w:val="0"/>
          <w:strike w:val="0"/>
          <w:sz w:val="22"/>
          <w:highlight w:val="cyan"/>
          <w:u w:val="single"/>
        </w:rPr>
        <w:t>solution</w:t>
      </w:r>
      <w:r>
        <w:rPr>
          <w:b w:val="0"/>
          <w:i w:val="0"/>
          <w:smallCaps w:val="0"/>
          <w:strike w:val="0"/>
          <w:sz w:val="22"/>
          <w:u w:val="none"/>
        </w:rPr>
        <w:t xml:space="preserve">. </w:t>
      </w:r>
      <w:r>
        <w:rPr>
          <w:b w:val="0"/>
          <w:i w:val="0"/>
          <w:smallCaps w:val="0"/>
          <w:strike w:val="0"/>
          <w:sz w:val="16"/>
          <w:u w:val="none"/>
        </w:rPr>
        <w:t xml:space="preserve">This has been discussed in relation to genomic and biotechnology patenting, for example, </w:t>
      </w:r>
      <w:r>
        <w:rPr>
          <w:b/>
          <w:i w:val="0"/>
          <w:smallCaps w:val="0"/>
          <w:strike w:val="0"/>
          <w:sz w:val="22"/>
          <w:highlight w:val="cyan"/>
          <w:u w:val="single"/>
        </w:rPr>
        <w:t>to reduce transaction costs and facilitate</w:t>
      </w:r>
      <w:r>
        <w:rPr>
          <w:b w:val="0"/>
          <w:i w:val="0"/>
          <w:smallCaps w:val="0"/>
          <w:strike w:val="0"/>
          <w:sz w:val="22"/>
          <w:u w:val="none"/>
        </w:rPr>
        <w:t xml:space="preserve"> </w:t>
      </w:r>
      <w:r>
        <w:rPr>
          <w:b w:val="0"/>
          <w:i w:val="0"/>
          <w:smallCaps w:val="0"/>
          <w:strike w:val="0"/>
          <w:sz w:val="16"/>
          <w:u w:val="none"/>
        </w:rPr>
        <w:t>the</w:t>
      </w:r>
      <w:r>
        <w:rPr>
          <w:b w:val="0"/>
          <w:i w:val="0"/>
          <w:smallCaps w:val="0"/>
          <w:strike w:val="0"/>
          <w:sz w:val="22"/>
          <w:u w:val="none"/>
        </w:rPr>
        <w:t xml:space="preserve"> </w:t>
      </w:r>
      <w:r>
        <w:rPr>
          <w:b/>
          <w:i w:val="0"/>
          <w:smallCaps w:val="0"/>
          <w:strike w:val="0"/>
          <w:sz w:val="22"/>
          <w:highlight w:val="cyan"/>
          <w:u w:val="single"/>
        </w:rPr>
        <w:t>bringing together</w:t>
      </w:r>
      <w:r>
        <w:rPr>
          <w:b w:val="0"/>
          <w:i w:val="0"/>
          <w:smallCaps w:val="0"/>
          <w:strike w:val="0"/>
          <w:sz w:val="22"/>
          <w:u w:val="none"/>
        </w:rPr>
        <w:t xml:space="preserve"> </w:t>
      </w:r>
      <w:r>
        <w:rPr>
          <w:b w:val="0"/>
          <w:i w:val="0"/>
          <w:smallCaps w:val="0"/>
          <w:strike w:val="0"/>
          <w:sz w:val="16"/>
          <w:u w:val="none"/>
        </w:rPr>
        <w:t>of</w:t>
      </w:r>
      <w:r>
        <w:rPr>
          <w:b w:val="0"/>
          <w:i w:val="0"/>
          <w:smallCaps w:val="0"/>
          <w:strike w:val="0"/>
          <w:sz w:val="22"/>
          <w:u w:val="none"/>
        </w:rPr>
        <w:t xml:space="preserve"> </w:t>
      </w:r>
      <w:r>
        <w:rPr>
          <w:b/>
          <w:i w:val="0"/>
          <w:smallCaps w:val="0"/>
          <w:strike w:val="0"/>
          <w:sz w:val="22"/>
          <w:highlight w:val="cyan"/>
          <w:u w:val="single"/>
        </w:rPr>
        <w:t>multiple</w:t>
      </w:r>
      <w:r>
        <w:rPr>
          <w:b w:val="0"/>
          <w:i w:val="0"/>
          <w:smallCaps w:val="0"/>
          <w:strike w:val="0"/>
          <w:sz w:val="22"/>
          <w:u w:val="none"/>
        </w:rPr>
        <w:t xml:space="preserve"> </w:t>
      </w:r>
      <w:r>
        <w:rPr>
          <w:b w:val="0"/>
          <w:i w:val="0"/>
          <w:smallCaps w:val="0"/>
          <w:strike w:val="0"/>
          <w:sz w:val="16"/>
          <w:u w:val="none"/>
        </w:rPr>
        <w:t>gene sequence</w:t>
      </w:r>
      <w:r>
        <w:rPr>
          <w:b w:val="0"/>
          <w:i w:val="0"/>
          <w:smallCaps w:val="0"/>
          <w:strike w:val="0"/>
          <w:sz w:val="22"/>
          <w:u w:val="none"/>
        </w:rPr>
        <w:t xml:space="preserve"> </w:t>
      </w:r>
      <w:r>
        <w:rPr>
          <w:b/>
          <w:i w:val="0"/>
          <w:smallCaps w:val="0"/>
          <w:strike w:val="0"/>
          <w:sz w:val="22"/>
          <w:highlight w:val="cyan"/>
          <w:u w:val="single"/>
        </w:rPr>
        <w:t>owners</w:t>
      </w:r>
      <w:r>
        <w:rPr>
          <w:b w:val="0"/>
          <w:i w:val="0"/>
          <w:smallCaps w:val="0"/>
          <w:strike w:val="0"/>
          <w:sz w:val="22"/>
          <w:u w:val="none"/>
        </w:rPr>
        <w:t xml:space="preserve"> </w:t>
      </w:r>
      <w:r>
        <w:rPr>
          <w:b w:val="0"/>
          <w:i w:val="0"/>
          <w:smallCaps w:val="0"/>
          <w:strike w:val="0"/>
          <w:sz w:val="16"/>
          <w:u w:val="none"/>
        </w:rPr>
        <w:t>for DNA microarrays and diagnostic tests (Clark, et al., 2000). The worry in this context is that the high transaction costs associated with negotiating between multiple IP owners could prevent inclusion of all the necessary gene sequences for a clinically effective diagnostic test.  In global health, patent pools have most recently been discussed in relation to the production of a SARS vaccine (Simon, et al., 2005).15</w:t>
      </w:r>
      <w:r>
        <w:rPr>
          <w:b w:val="0"/>
          <w:i w:val="0"/>
          <w:smallCaps w:val="0"/>
          <w:strike w:val="0"/>
          <w:sz w:val="22"/>
          <w:u w:val="none"/>
        </w:rPr>
        <w:t xml:space="preserve">   </w:t>
      </w:r>
    </w:p>
    <w:p>
      <w:pPr>
        <w:spacing w:after="60"/>
      </w:pPr>
      <w:r>
        <w:rPr>
          <w:b w:val="0"/>
          <w:i w:val="0"/>
          <w:smallCaps w:val="0"/>
          <w:strike w:val="0"/>
          <w:sz w:val="16"/>
          <w:u w:val="none"/>
        </w:rPr>
        <w:t>According to Simon et al. (2005), the severe acute respiratory syndrome coronavirus (SARS‐CoV) might provide the test case for patent pooling in the health sciences.  This is because the research and sequencing that led to the identification of the virus following the 2002 outbreak occurred in a particular way: • over a short period of time, making the patent applications at similar stages and with few third party agreements to complicate matters;   • within four parties that hold the key patent applications for SARS‐CoV (CDC, Health Canada, Versitech, Ltd., and CoroNovative BV); • without, as yet, a market for SARS related products, providing an incentive to contain costs; and, • a close involvement with public health‐related organizations who would like to drive the process forward. (Simon, et al., 2005 709)</w:t>
      </w:r>
    </w:p>
    <w:p>
      <w:pPr>
        <w:spacing w:after="60"/>
      </w:pPr>
      <w:r>
        <w:rPr>
          <w:b w:val="0"/>
          <w:i w:val="0"/>
          <w:smallCaps w:val="0"/>
          <w:strike w:val="0"/>
          <w:sz w:val="16"/>
          <w:u w:val="none"/>
        </w:rPr>
        <w:t>Thus,</w:t>
      </w:r>
      <w:r>
        <w:rPr>
          <w:b w:val="0"/>
          <w:i w:val="0"/>
          <w:smallCaps w:val="0"/>
          <w:strike w:val="0"/>
          <w:sz w:val="22"/>
          <w:u w:val="none"/>
        </w:rPr>
        <w:t xml:space="preserve"> </w:t>
      </w:r>
      <w:r>
        <w:rPr>
          <w:b/>
          <w:i w:val="0"/>
          <w:smallCaps w:val="0"/>
          <w:strike w:val="0"/>
          <w:sz w:val="22"/>
          <w:highlight w:val="cyan"/>
          <w:u w:val="single"/>
        </w:rPr>
        <w:t>the</w:t>
      </w:r>
      <w:r>
        <w:rPr>
          <w:b w:val="0"/>
          <w:i w:val="0"/>
          <w:smallCaps w:val="0"/>
          <w:strike w:val="0"/>
          <w:sz w:val="22"/>
          <w:u w:val="single"/>
        </w:rPr>
        <w:t xml:space="preserve"> SARS </w:t>
      </w:r>
      <w:r>
        <w:rPr>
          <w:b/>
          <w:i w:val="0"/>
          <w:smallCaps w:val="0"/>
          <w:strike w:val="0"/>
          <w:sz w:val="22"/>
          <w:highlight w:val="cyan"/>
          <w:u w:val="single"/>
        </w:rPr>
        <w:t>patent pool demonstrates</w:t>
      </w:r>
      <w:r>
        <w:rPr>
          <w:b w:val="0"/>
          <w:i w:val="0"/>
          <w:smallCaps w:val="0"/>
          <w:strike w:val="0"/>
          <w:sz w:val="22"/>
          <w:u w:val="single"/>
        </w:rPr>
        <w:t xml:space="preserve"> the potential of pooling as </w:t>
      </w:r>
      <w:r>
        <w:rPr>
          <w:b/>
          <w:i w:val="0"/>
          <w:smallCaps w:val="0"/>
          <w:strike w:val="0"/>
          <w:sz w:val="22"/>
          <w:highlight w:val="cyan"/>
          <w:u w:val="single"/>
        </w:rPr>
        <w:t>a way to work within existing patent law to foster</w:t>
      </w:r>
      <w:r>
        <w:rPr>
          <w:b w:val="0"/>
          <w:i w:val="0"/>
          <w:smallCaps w:val="0"/>
          <w:strike w:val="0"/>
          <w:sz w:val="22"/>
          <w:u w:val="single"/>
        </w:rPr>
        <w:t xml:space="preserve"> the </w:t>
      </w:r>
      <w:r>
        <w:rPr>
          <w:b/>
          <w:i w:val="0"/>
          <w:smallCaps w:val="0"/>
          <w:strike w:val="0"/>
          <w:sz w:val="22"/>
          <w:highlight w:val="cyan"/>
          <w:u w:val="single"/>
        </w:rPr>
        <w:t>development of</w:t>
      </w:r>
      <w:r>
        <w:rPr>
          <w:b/>
          <w:i w:val="0"/>
          <w:smallCaps w:val="0"/>
          <w:strike w:val="0"/>
          <w:sz w:val="22"/>
          <w:u w:val="single"/>
        </w:rPr>
        <w:t xml:space="preserve"> an </w:t>
      </w:r>
      <w:r>
        <w:rPr>
          <w:b/>
          <w:i w:val="0"/>
          <w:smallCaps w:val="0"/>
          <w:strike w:val="0"/>
          <w:sz w:val="22"/>
          <w:highlight w:val="cyan"/>
          <w:u w:val="single"/>
        </w:rPr>
        <w:t>important product</w:t>
      </w:r>
      <w:r>
        <w:rPr>
          <w:b w:val="0"/>
          <w:i w:val="0"/>
          <w:smallCaps w:val="0"/>
          <w:strike w:val="0"/>
          <w:sz w:val="22"/>
          <w:u w:val="none"/>
        </w:rPr>
        <w:t xml:space="preserve"> </w:t>
      </w:r>
      <w:r>
        <w:rPr>
          <w:b w:val="0"/>
          <w:i w:val="0"/>
          <w:smallCaps w:val="0"/>
          <w:strike w:val="0"/>
          <w:sz w:val="16"/>
          <w:u w:val="none"/>
        </w:rPr>
        <w:t>(i.e., the SARS vaccine).  Another area where</w:t>
      </w:r>
      <w:r>
        <w:rPr>
          <w:b w:val="0"/>
          <w:i w:val="0"/>
          <w:smallCaps w:val="0"/>
          <w:strike w:val="0"/>
          <w:sz w:val="22"/>
          <w:u w:val="none"/>
        </w:rPr>
        <w:t xml:space="preserve"> </w:t>
      </w:r>
      <w:r>
        <w:rPr>
          <w:b w:val="0"/>
          <w:i w:val="0"/>
          <w:smallCaps w:val="0"/>
          <w:strike w:val="0"/>
          <w:sz w:val="22"/>
          <w:highlight w:val="cyan"/>
          <w:u w:val="single"/>
        </w:rPr>
        <w:t>patent pooling could be effective</w:t>
      </w:r>
      <w:r>
        <w:rPr>
          <w:b w:val="0"/>
          <w:i w:val="0"/>
          <w:smallCaps w:val="0"/>
          <w:strike w:val="0"/>
          <w:sz w:val="22"/>
          <w:u w:val="none"/>
        </w:rPr>
        <w:t xml:space="preserve"> </w:t>
      </w:r>
      <w:r>
        <w:rPr>
          <w:b w:val="0"/>
          <w:i w:val="0"/>
          <w:smallCaps w:val="0"/>
          <w:strike w:val="0"/>
          <w:sz w:val="16"/>
          <w:u w:val="none"/>
        </w:rPr>
        <w:t>is in</w:t>
      </w:r>
      <w:r>
        <w:rPr>
          <w:b w:val="0"/>
          <w:i w:val="0"/>
          <w:smallCaps w:val="0"/>
          <w:strike w:val="0"/>
          <w:sz w:val="22"/>
          <w:u w:val="none"/>
        </w:rPr>
        <w:t xml:space="preserve"> </w:t>
      </w:r>
      <w:r>
        <w:rPr>
          <w:b w:val="0"/>
          <w:i w:val="0"/>
          <w:smallCaps w:val="0"/>
          <w:strike w:val="0"/>
          <w:sz w:val="22"/>
          <w:highlight w:val="cyan"/>
          <w:u w:val="single"/>
        </w:rPr>
        <w:t>facilitating fixed dose combinations</w:t>
      </w:r>
      <w:r>
        <w:rPr>
          <w:b w:val="0"/>
          <w:i w:val="0"/>
          <w:smallCaps w:val="0"/>
          <w:strike w:val="0"/>
          <w:sz w:val="22"/>
          <w:u w:val="none"/>
        </w:rPr>
        <w:t xml:space="preserve"> </w:t>
      </w:r>
      <w:r>
        <w:rPr>
          <w:b w:val="0"/>
          <w:i w:val="0"/>
          <w:smallCaps w:val="0"/>
          <w:strike w:val="0"/>
          <w:sz w:val="16"/>
          <w:u w:val="none"/>
        </w:rPr>
        <w:t xml:space="preserve">(FDCs), </w:t>
      </w:r>
      <w:r>
        <w:rPr>
          <w:b w:val="0"/>
          <w:i w:val="0"/>
          <w:smallCaps w:val="0"/>
          <w:strike w:val="0"/>
          <w:sz w:val="22"/>
          <w:u w:val="single"/>
        </w:rPr>
        <w:t xml:space="preserve">as the treatment of </w:t>
      </w:r>
      <w:r>
        <w:rPr>
          <w:b w:val="0"/>
          <w:i w:val="0"/>
          <w:smallCaps w:val="0"/>
          <w:strike w:val="0"/>
          <w:sz w:val="22"/>
          <w:highlight w:val="cyan"/>
          <w:u w:val="single"/>
        </w:rPr>
        <w:t>many health conditions</w:t>
      </w:r>
      <w:r>
        <w:rPr>
          <w:b w:val="0"/>
          <w:i w:val="0"/>
          <w:smallCaps w:val="0"/>
          <w:strike w:val="0"/>
          <w:sz w:val="22"/>
          <w:u w:val="none"/>
        </w:rPr>
        <w:t xml:space="preserve"> </w:t>
      </w:r>
      <w:r>
        <w:rPr>
          <w:b w:val="0"/>
          <w:i w:val="0"/>
          <w:smallCaps w:val="0"/>
          <w:strike w:val="0"/>
          <w:sz w:val="16"/>
          <w:u w:val="none"/>
        </w:rPr>
        <w:t>(such as TB and HIV) often</w:t>
      </w:r>
      <w:r>
        <w:rPr>
          <w:b w:val="0"/>
          <w:i w:val="0"/>
          <w:smallCaps w:val="0"/>
          <w:strike w:val="0"/>
          <w:sz w:val="22"/>
          <w:u w:val="none"/>
        </w:rPr>
        <w:t xml:space="preserve"> </w:t>
      </w:r>
      <w:r>
        <w:rPr>
          <w:b w:val="0"/>
          <w:i w:val="0"/>
          <w:smallCaps w:val="0"/>
          <w:strike w:val="0"/>
          <w:sz w:val="22"/>
          <w:highlight w:val="cyan"/>
          <w:u w:val="single"/>
        </w:rPr>
        <w:t>requires</w:t>
      </w:r>
      <w:r>
        <w:rPr>
          <w:b w:val="0"/>
          <w:i w:val="0"/>
          <w:smallCaps w:val="0"/>
          <w:strike w:val="0"/>
          <w:sz w:val="22"/>
          <w:u w:val="none"/>
        </w:rPr>
        <w:t xml:space="preserve"> </w:t>
      </w:r>
      <w:r>
        <w:rPr>
          <w:b w:val="0"/>
          <w:i w:val="0"/>
          <w:smallCaps w:val="0"/>
          <w:strike w:val="0"/>
          <w:sz w:val="16"/>
          <w:u w:val="none"/>
        </w:rPr>
        <w:t>the</w:t>
      </w:r>
      <w:r>
        <w:rPr>
          <w:b w:val="0"/>
          <w:i w:val="0"/>
          <w:smallCaps w:val="0"/>
          <w:strike w:val="0"/>
          <w:sz w:val="22"/>
          <w:u w:val="none"/>
        </w:rPr>
        <w:t xml:space="preserve"> </w:t>
      </w:r>
      <w:r>
        <w:rPr>
          <w:b w:val="0"/>
          <w:i w:val="0"/>
          <w:smallCaps w:val="0"/>
          <w:strike w:val="0"/>
          <w:sz w:val="22"/>
          <w:u w:val="single"/>
        </w:rPr>
        <w:t xml:space="preserve">administration of </w:t>
      </w:r>
      <w:r>
        <w:rPr>
          <w:b w:val="0"/>
          <w:i w:val="0"/>
          <w:smallCaps w:val="0"/>
          <w:strike w:val="0"/>
          <w:sz w:val="22"/>
          <w:highlight w:val="cyan"/>
          <w:u w:val="single"/>
        </w:rPr>
        <w:t>multiple</w:t>
      </w:r>
      <w:r>
        <w:rPr>
          <w:b w:val="0"/>
          <w:i w:val="0"/>
          <w:smallCaps w:val="0"/>
          <w:strike w:val="0"/>
          <w:sz w:val="22"/>
          <w:u w:val="single"/>
        </w:rPr>
        <w:t xml:space="preserve"> different </w:t>
      </w:r>
      <w:r>
        <w:rPr>
          <w:b w:val="0"/>
          <w:i w:val="0"/>
          <w:smallCaps w:val="0"/>
          <w:strike w:val="0"/>
          <w:sz w:val="22"/>
          <w:highlight w:val="cyan"/>
          <w:u w:val="single"/>
        </w:rPr>
        <w:t>drugs per day</w:t>
      </w:r>
      <w:r>
        <w:rPr>
          <w:b w:val="0"/>
          <w:i w:val="0"/>
          <w:smallCaps w:val="0"/>
          <w:strike w:val="0"/>
          <w:sz w:val="22"/>
          <w:u w:val="none"/>
        </w:rPr>
        <w:t xml:space="preserve"> – </w:t>
      </w:r>
      <w:r>
        <w:rPr>
          <w:b w:val="0"/>
          <w:i w:val="0"/>
          <w:smallCaps w:val="0"/>
          <w:strike w:val="0"/>
          <w:sz w:val="22"/>
          <w:highlight w:val="cyan"/>
          <w:u w:val="single"/>
        </w:rPr>
        <w:t>a situation</w:t>
      </w:r>
      <w:r>
        <w:rPr>
          <w:b w:val="0"/>
          <w:i w:val="0"/>
          <w:smallCaps w:val="0"/>
          <w:strike w:val="0"/>
          <w:sz w:val="22"/>
          <w:u w:val="single"/>
        </w:rPr>
        <w:t xml:space="preserve"> that could be helped</w:t>
      </w:r>
      <w:r>
        <w:rPr>
          <w:b w:val="0"/>
          <w:i w:val="0"/>
          <w:smallCaps w:val="0"/>
          <w:strike w:val="0"/>
          <w:sz w:val="22"/>
          <w:u w:val="none"/>
        </w:rPr>
        <w:t xml:space="preserve"> (</w:t>
      </w:r>
      <w:r>
        <w:rPr>
          <w:b w:val="0"/>
          <w:i w:val="0"/>
          <w:smallCaps w:val="0"/>
          <w:strike w:val="0"/>
          <w:sz w:val="22"/>
          <w:u w:val="single"/>
        </w:rPr>
        <w:t xml:space="preserve">and has been </w:t>
      </w:r>
      <w:r>
        <w:rPr>
          <w:b w:val="0"/>
          <w:i w:val="0"/>
          <w:smallCaps w:val="0"/>
          <w:strike w:val="0"/>
          <w:sz w:val="22"/>
          <w:highlight w:val="cyan"/>
          <w:u w:val="single"/>
        </w:rPr>
        <w:t>helped in the case of HIV</w:t>
      </w:r>
      <w:r>
        <w:rPr>
          <w:b w:val="0"/>
          <w:i w:val="0"/>
          <w:smallCaps w:val="0"/>
          <w:strike w:val="0"/>
          <w:sz w:val="22"/>
          <w:u w:val="none"/>
        </w:rPr>
        <w:t xml:space="preserve">), </w:t>
      </w:r>
      <w:r>
        <w:rPr>
          <w:b w:val="0"/>
          <w:i w:val="0"/>
          <w:smallCaps w:val="0"/>
          <w:strike w:val="0"/>
          <w:sz w:val="22"/>
          <w:highlight w:val="cyan"/>
          <w:u w:val="single"/>
        </w:rPr>
        <w:t>by FDCs</w:t>
      </w:r>
      <w:r>
        <w:rPr>
          <w:b w:val="0"/>
          <w:i w:val="0"/>
          <w:smallCaps w:val="0"/>
          <w:strike w:val="0"/>
          <w:sz w:val="22"/>
          <w:u w:val="none"/>
        </w:rPr>
        <w:t xml:space="preserve"> </w:t>
      </w:r>
      <w:r>
        <w:rPr>
          <w:b w:val="0"/>
          <w:i w:val="0"/>
          <w:smallCaps w:val="0"/>
          <w:strike w:val="0"/>
          <w:sz w:val="16"/>
          <w:u w:val="none"/>
        </w:rPr>
        <w:t>(Kaplan, 2003a, Kaplan, 2003b).  Importantly,</w:t>
      </w:r>
      <w:r>
        <w:rPr>
          <w:b w:val="0"/>
          <w:i w:val="0"/>
          <w:smallCaps w:val="0"/>
          <w:strike w:val="0"/>
          <w:sz w:val="22"/>
          <w:u w:val="none"/>
        </w:rPr>
        <w:t xml:space="preserve"> </w:t>
      </w:r>
      <w:r>
        <w:rPr>
          <w:b/>
          <w:i w:val="0"/>
          <w:smallCaps w:val="0"/>
          <w:strike w:val="0"/>
          <w:sz w:val="22"/>
          <w:highlight w:val="cyan"/>
          <w:u w:val="single"/>
        </w:rPr>
        <w:t>for these initiatives to go forward does not require global IPR reform</w:t>
      </w:r>
      <w:r>
        <w:rPr>
          <w:b w:val="0"/>
          <w:i w:val="0"/>
          <w:smallCaps w:val="0"/>
          <w:strike w:val="0"/>
          <w:sz w:val="22"/>
          <w:u w:val="none"/>
        </w:rPr>
        <w:t>.</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