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Patent Pools cause</w:t>
      </w:r>
      <w:r>
        <w:rPr>
          <w:b/>
          <w:i w:val="0"/>
          <w:smallCaps w:val="0"/>
          <w:strike w:val="0"/>
          <w:sz w:val="26"/>
          <w:u w:val="none"/>
        </w:rPr>
        <w:t xml:space="preserve"> free riding 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Katarina </w:t>
      </w:r>
      <w:r>
        <w:rPr>
          <w:b/>
          <w:i w:val="0"/>
          <w:smallCaps w:val="0"/>
          <w:strike w:val="0"/>
          <w:sz w:val="26"/>
          <w:u w:val="none"/>
        </w:rPr>
        <w:t>Mikolajova 16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Katarina Mikolajova got her paper published by the Stanford Law School,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6-22-2016, "No. 22: The Treatment of Software Patent Pools under the United States Antitrust and the European Union Competition Laws", Stanford Law School,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Certain industries are said to be forced to rely on pools.121 As Steven Carlson argues, “in standard-dependent technologies, such as the MPEG protocol, there is essentially no choice but to deal with the patent pool.”122 This can also amount to a violation of abuse of dominance provisions.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Where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horizontal competitors pool their 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competition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licensees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reduced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—and even where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patent holder retains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right to license outside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pool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may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be much incentive to do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so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.123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Where the right to license out of the pool does not exist,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this could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discourage innovation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.124 Moreover, where the pool requires the members to grant licences to each other for present and future technologies (“grant-back”) at minimal cost or without an adequate reward,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may further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disincentivise members to engage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r</w:t>
      </w:r>
      <w:r>
        <w:rPr>
          <w:b w:val="0"/>
          <w:i w:val="0"/>
          <w:smallCaps w:val="0"/>
          <w:strike w:val="0"/>
          <w:sz w:val="22"/>
          <w:u w:val="single"/>
        </w:rPr>
        <w:t>esearch a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evelopment or cost-reducing process and product innovations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lead them to just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freeride </w:t>
      </w:r>
      <w:r>
        <w:rPr>
          <w:b/>
          <w:i w:val="0"/>
          <w:smallCaps w:val="0"/>
          <w:strike w:val="0"/>
          <w:sz w:val="22"/>
          <w:u w:val="single"/>
        </w:rPr>
        <w:t xml:space="preserve">on the works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others</w:t>
      </w:r>
      <w:r>
        <w:rPr>
          <w:b w:val="0"/>
          <w:i w:val="0"/>
          <w:smallCaps w:val="0"/>
          <w:strike w:val="0"/>
          <w:sz w:val="22"/>
          <w:u w:val="none"/>
        </w:rPr>
        <w:t>.125</w:t>
      </w:r>
    </w:p>
    <w:p>
      <w:pPr>
        <w:pStyle w:val="Caption"/>
      </w:pPr>
      <w:r>
        <w:t>Source: Patent Pools CP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