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 decreases patent application and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Ryan </w:t>
      </w:r>
      <w:r>
        <w:rPr>
          <w:b/>
          <w:i w:val="0"/>
          <w:smallCaps w:val="0"/>
          <w:strike w:val="0"/>
          <w:sz w:val="26"/>
          <w:u w:val="none"/>
        </w:rPr>
        <w:t>Lampe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Petra </w:t>
      </w:r>
      <w:r>
        <w:rPr>
          <w:b/>
          <w:i w:val="0"/>
          <w:smallCaps w:val="0"/>
          <w:strike w:val="0"/>
          <w:sz w:val="26"/>
          <w:u w:val="none"/>
        </w:rPr>
        <w:t>Moser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Ryan Lampe is a professor of economics at California State University, Petra Moser is a professor of economics at Stern School of Business at NYU,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8-3-2015, "Patent Pools, Competition, and Innovation—Evidence from 20 US Industries under the New Deal", OUP Academic, </w:t>
      </w:r>
      <w:r>
        <w:rPr>
          <w:b w:val="0"/>
          <w:i w:val="0"/>
          <w:smallCaps w:val="0"/>
          <w:strike w:val="0"/>
          <w:sz w:val="22"/>
          <w:u w:val="none"/>
        </w:rPr>
        <w:t>https://academic.oup.com/jleo/article/32/1/1/2579509//susu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u w:val="single"/>
        </w:rPr>
        <w:t>pool technologies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patent applications </w:t>
      </w:r>
      <w:r>
        <w:rPr>
          <w:b/>
          <w:i w:val="0"/>
          <w:smallCaps w:val="0"/>
          <w:strike w:val="0"/>
          <w:sz w:val="22"/>
          <w:u w:val="single"/>
        </w:rPr>
        <w:t>declined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the creation of a pool, both in absolute terms and relative to </w:t>
      </w:r>
      <w:r>
        <w:rPr>
          <w:b/>
          <w:i w:val="0"/>
          <w:smallCaps w:val="0"/>
          <w:strike w:val="0"/>
          <w:sz w:val="22"/>
          <w:u w:val="single"/>
        </w:rPr>
        <w:t>alternative definitions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control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pool subclasses, patent applications </w:t>
      </w:r>
      <w:r>
        <w:rPr>
          <w:b/>
          <w:i w:val="0"/>
          <w:smallCaps w:val="0"/>
          <w:strike w:val="0"/>
          <w:sz w:val="22"/>
          <w:u w:val="single"/>
        </w:rPr>
        <w:t>declined from 2.</w:t>
      </w:r>
      <w:r>
        <w:rPr>
          <w:b w:val="0"/>
          <w:i w:val="0"/>
          <w:smallCaps w:val="0"/>
          <w:strike w:val="0"/>
          <w:sz w:val="22"/>
          <w:u w:val="single"/>
        </w:rPr>
        <w:t>54 per subclass and year before the creation of a pool to 2</w:t>
      </w:r>
      <w:r>
        <w:rPr>
          <w:b/>
          <w:i w:val="0"/>
          <w:smallCaps w:val="0"/>
          <w:strike w:val="0"/>
          <w:sz w:val="22"/>
          <w:u w:val="single"/>
        </w:rPr>
        <w:t>.40 afterwards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(Table 2), and from 2</w:t>
      </w:r>
      <w:r>
        <w:rPr>
          <w:b/>
          <w:i w:val="0"/>
          <w:smallCaps w:val="0"/>
          <w:strike w:val="0"/>
          <w:sz w:val="22"/>
          <w:u w:val="single"/>
        </w:rPr>
        <w:t>.80 to 2.48 within a 10-year window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before and after the creation of a pool (Figure 1). </w:t>
      </w:r>
      <w:r>
        <w:rPr>
          <w:b w:val="0"/>
          <w:i w:val="0"/>
          <w:smallCaps w:val="0"/>
          <w:strike w:val="0"/>
          <w:sz w:val="12"/>
          <w:u w:val="single"/>
        </w:rPr>
        <w:t>I</w:t>
      </w:r>
      <w:r>
        <w:rPr>
          <w:b w:val="0"/>
          <w:i w:val="0"/>
          <w:smallCaps w:val="0"/>
          <w:strike w:val="0"/>
          <w:sz w:val="12"/>
          <w:u w:val="none"/>
        </w:rPr>
        <w:t>n cross-reference subclasses, patent applications increased from 2.70 before the creation of a pool to 2.94 afterwards (Table 2), and from 2.94 to 3.02 within a 10-year window (Figure 1). In the broader control group that includes all subclasses in the same class, patent applications increased from 1.00 per year before the creation of a pool to 1.11 afterwards (Table 2).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