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Overturning Tiffany will alleviate companies of burdening costs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USPTO ’21 </w:t>
      </w:r>
      <w:r>
        <w:rPr>
          <w:b w:val="0"/>
          <w:i w:val="0"/>
          <w:smallCaps w:val="0"/>
          <w:strike w:val="0"/>
          <w:u w:val="none"/>
        </w:rPr>
        <w:t>[USPTO -- The United States Patent and Trademark Office (USPTO) is a fee-funded agency of the U.S. Department of Commerce. “Secondary Trademark Infringement Liability in the E-Commerce Setting”, https://www.uspto.gov/sites/default/files/documents/Secondary-TM-Infringement-Liability-Response.pdf//MS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Many of the Change Respondents</w:t>
      </w:r>
      <w:r>
        <w:rPr>
          <w:b w:val="0"/>
          <w:i w:val="0"/>
          <w:smallCaps w:val="0"/>
          <w:strike w:val="0"/>
          <w:sz w:val="16"/>
          <w:u w:val="none"/>
        </w:rPr>
        <w:t>—AAFA, ABAIPL, the Automotive Anti-Counterfeiting Council (A2C2), the Footwear Distributors &amp; Retail Association (FDRA), GBOC, Toy Association, and the Transnational Alliance to Combat Illicit Trade (TRACIT)—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believe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current state of the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brand 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 and report listings of counterfeit goods to e-commerce platforms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disproportionately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burdens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owners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Change Respondents note that not only do e-commerce platforms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affirmative duty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police their sites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counterfeit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there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inconsistency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platforms’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notice-and-takedown procedures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.28 IACC states, “[t]he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end result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been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wide disparity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 level of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[intellectual property] protection across the online space, characterized by a patchwork set of rules, procedures,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evidence requirements that rights-holders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navigate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seek assistance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the Toy Association explains, “certain tools are only made available to brands that have registered for particular marketplace enforcement programs that may have onerous terms;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available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 to the brand owner</w:t>
      </w:r>
      <w:r>
        <w:rPr>
          <w:b w:val="0"/>
          <w:i w:val="0"/>
          <w:smallCaps w:val="0"/>
          <w:strike w:val="0"/>
          <w:sz w:val="16"/>
          <w:u w:val="none"/>
        </w:rPr>
        <w:t>; and some may only be available to accepted brands after application to the marketplace,” and, in addition,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uniform across marketplaces.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Further, because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process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by the time a listing for a counterfeit product is removed, consumers may have already been exposed to (and purchased) the illicit goods. 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law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been able to keep pac</w:t>
      </w:r>
      <w:r>
        <w:rPr>
          <w:b/>
          <w:i w:val="0"/>
          <w:smallCaps w:val="0"/>
          <w:strike w:val="0"/>
          <w:sz w:val="22"/>
          <w:u w:val="single"/>
        </w:rPr>
        <w:t>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current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technology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Multiple Change Respondents—AAFA, the Center for Anti-Counterfeiting and Product Protection (A-CAPP), FDRA, GBOC, and TRACIT—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argue that e-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commerce platform incentives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keep counterfeit listings off their sites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(e.</w:t>
      </w:r>
      <w:r>
        <w:rPr>
          <w:b w:val="0"/>
          <w:i w:val="0"/>
          <w:smallCaps w:val="0"/>
          <w:strike w:val="0"/>
          <w:sz w:val="16"/>
          <w:u w:val="none"/>
        </w:rPr>
        <w:t>g., consumer trust and reputation) are outweighed by the incentives to maximize listings, and therefore profits.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