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color w:val="000000"/>
          <w:sz w:val="24"/>
          <w:u w:val="single"/>
        </w:rPr>
        <w:t xml:space="preserve">• </w:t>
      </w:r>
      <w:r>
        <w:rPr>
          <w:b/>
          <w:i w:val="0"/>
          <w:smallCaps w:val="0"/>
          <w:strike w:val="0"/>
          <w:color w:val="000000"/>
          <w:sz w:val="24"/>
          <w:highlight w:val="cyan"/>
          <w:u w:val="single"/>
        </w:rPr>
        <w:t xml:space="preserve">44% of the </w:t>
      </w:r>
      <w:r>
        <w:rPr>
          <w:b/>
          <w:i w:val="0"/>
          <w:smallCaps w:val="0"/>
          <w:strike w:val="0"/>
          <w:color w:val="000000"/>
          <w:sz w:val="24"/>
          <w:highlight w:val="cyan"/>
          <w:u w:val="single"/>
        </w:rPr>
        <w:t>respondents</w:t>
      </w:r>
      <w:r>
        <w:rPr>
          <w:b/>
          <w:i w:val="0"/>
          <w:smallCaps w:val="0"/>
          <w:strike w:val="0"/>
          <w:color w:val="000000"/>
          <w:sz w:val="24"/>
          <w:highlight w:val="cyan"/>
          <w:u w:val="single"/>
        </w:rPr>
        <w:t xml:space="preserve"> said backlogs have increased in the last two years, while 45% said their caseloads are also increasing.</w:t>
      </w:r>
    </w:p>
    <w:p>
      <w:pPr>
        <w:spacing w:after="8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• 81% said courts are conducting hearings through virtual platforms. Forty percent said 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a majority of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court hearings are conducted virtually.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The report said virtual hearings are increasing access to justice, but </w:t>
      </w:r>
      <w:r>
        <w:rPr>
          <w:b/>
          <w:i w:val="0"/>
          <w:smallCaps w:val="0"/>
          <w:strike w:val="0"/>
          <w:color w:val="000000"/>
          <w:sz w:val="24"/>
          <w:highlight w:val="cyan"/>
          <w:u w:val="single"/>
        </w:rPr>
        <w:t>courts still need to modernize</w:t>
      </w:r>
      <w:r>
        <w:rPr>
          <w:b/>
          <w:i w:val="0"/>
          <w:smallCaps w:val="0"/>
          <w:strike w:val="0"/>
          <w:color w:val="000000"/>
          <w:sz w:val="24"/>
          <w:u w:val="single"/>
        </w:rPr>
        <w:t xml:space="preserve"> to 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handle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 digital evidence.</w:t>
      </w:r>
    </w:p>
    <w:p>
      <w:pPr>
        <w:pStyle w:val="Caption"/>
      </w:pPr>
      <w:r>
        <w:t>Source: DA Updates - Michigan 2024 GLW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