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PPP in specifically Biotech empirically fails</w:t>
      </w:r>
    </w:p>
    <w:p>
      <w:pPr>
        <w:spacing w:after="80"/>
      </w:pPr>
      <w:r>
        <w:rPr>
          <w:b/>
          <w:i w:val="0"/>
          <w:smallCaps w:val="0"/>
          <w:strike w:val="0"/>
          <w:u w:val="none"/>
        </w:rPr>
        <w:t>Kherel</w:t>
      </w:r>
      <w:r>
        <w:rPr>
          <w:b/>
          <w:i w:val="0"/>
          <w:smallCaps w:val="0"/>
          <w:strike w:val="0"/>
          <w:u w:val="none"/>
        </w:rPr>
        <w:t>, et al ’15</w:t>
      </w:r>
      <w:r>
        <w:rPr>
          <w:b/>
          <w:i w:val="0"/>
          <w:smallCaps w:val="0"/>
          <w:strike w:val="0"/>
          <w:u w:val="none"/>
        </w:rPr>
        <w:t xml:space="preserve"> </w:t>
      </w:r>
      <w:r>
        <w:rPr>
          <w:b w:val="0"/>
          <w:i w:val="0"/>
          <w:smallCaps w:val="0"/>
          <w:strike w:val="0"/>
          <w:u w:val="none"/>
        </w:rPr>
        <w:t>[ Uwe;</w:t>
      </w:r>
      <w:r>
        <w:rPr>
          <w:b w:val="0"/>
          <w:i w:val="0"/>
          <w:smallCaps w:val="0"/>
          <w:strike w:val="0"/>
          <w:u w:val="none"/>
        </w:rPr>
        <w:t xml:space="preserve"> October 26; Research Assistant at the Institute of Business Administration at the Department of Chemistry and Pharmacy at the University of Muenster. "Why </w:t>
      </w:r>
      <w:r>
        <w:rPr>
          <w:b w:val="0"/>
          <w:i w:val="0"/>
          <w:smallCaps w:val="0"/>
          <w:strike w:val="0"/>
          <w:u w:val="none"/>
        </w:rPr>
        <w:t>research  Partnerships</w:t>
      </w:r>
      <w:r>
        <w:rPr>
          <w:b w:val="0"/>
          <w:i w:val="0"/>
          <w:smallCaps w:val="0"/>
          <w:strike w:val="0"/>
          <w:u w:val="none"/>
        </w:rPr>
        <w:t xml:space="preserve"> Fail in the Biotechnology sector--An empirical Analysis of Strategic Partnership" ; </w:t>
      </w:r>
      <w:r>
        <w:rPr>
          <w:b w:val="0"/>
          <w:i w:val="0"/>
          <w:smallCaps w:val="0"/>
          <w:strike w:val="0"/>
          <w:u w:val="none"/>
        </w:rPr>
        <w:t>]//sas</w:t>
      </w:r>
    </w:p>
    <w:p>
      <w:pPr>
        <w:spacing w:after="60"/>
      </w:pPr>
      <w:r>
        <w:rPr>
          <w:b w:val="0"/>
          <w:i w:val="0"/>
          <w:smallCaps w:val="0"/>
          <w:strike w:val="0"/>
          <w:sz w:val="22"/>
          <w:highlight w:val="cyan"/>
          <w:u w:val="single"/>
        </w:rPr>
        <w:t>In the period 1977–2010</w:t>
      </w:r>
      <w:r>
        <w:rPr>
          <w:b w:val="0"/>
          <w:i w:val="0"/>
          <w:smallCaps w:val="0"/>
          <w:strike w:val="0"/>
          <w:sz w:val="22"/>
          <w:u w:val="single"/>
        </w:rPr>
        <w:t xml:space="preserve">, about </w:t>
      </w:r>
      <w:r>
        <w:rPr>
          <w:b w:val="0"/>
          <w:i w:val="0"/>
          <w:smallCaps w:val="0"/>
          <w:strike w:val="0"/>
          <w:sz w:val="22"/>
          <w:highlight w:val="cyan"/>
          <w:u w:val="single"/>
        </w:rPr>
        <w:t>71% of</w:t>
      </w:r>
      <w:r>
        <w:rPr>
          <w:b w:val="0"/>
          <w:i w:val="0"/>
          <w:smallCaps w:val="0"/>
          <w:strike w:val="0"/>
          <w:sz w:val="22"/>
          <w:u w:val="single"/>
        </w:rPr>
        <w:t xml:space="preserve"> all </w:t>
      </w:r>
      <w:r>
        <w:rPr>
          <w:b w:val="0"/>
          <w:i w:val="0"/>
          <w:smallCaps w:val="0"/>
          <w:strike w:val="0"/>
          <w:sz w:val="22"/>
          <w:highlight w:val="cyan"/>
          <w:u w:val="single"/>
        </w:rPr>
        <w:t>research-oriented partnerships</w:t>
      </w:r>
      <w:r>
        <w:rPr>
          <w:b w:val="0"/>
          <w:i w:val="0"/>
          <w:smallCaps w:val="0"/>
          <w:strike w:val="0"/>
          <w:sz w:val="22"/>
          <w:u w:val="single"/>
        </w:rPr>
        <w:t xml:space="preserve"> </w:t>
      </w:r>
      <w:r>
        <w:rPr>
          <w:b w:val="0"/>
          <w:i w:val="0"/>
          <w:smallCaps w:val="0"/>
          <w:strike w:val="0"/>
          <w:sz w:val="22"/>
          <w:highlight w:val="cyan"/>
          <w:u w:val="single"/>
        </w:rPr>
        <w:t>in</w:t>
      </w:r>
      <w:r>
        <w:rPr>
          <w:b w:val="0"/>
          <w:i w:val="0"/>
          <w:smallCaps w:val="0"/>
          <w:strike w:val="0"/>
          <w:sz w:val="22"/>
          <w:u w:val="single"/>
        </w:rPr>
        <w:t xml:space="preserve"> the </w:t>
      </w:r>
      <w:r>
        <w:rPr>
          <w:b w:val="0"/>
          <w:i w:val="0"/>
          <w:smallCaps w:val="0"/>
          <w:strike w:val="0"/>
          <w:sz w:val="22"/>
          <w:highlight w:val="cyan"/>
          <w:u w:val="single"/>
        </w:rPr>
        <w:t>biotech</w:t>
      </w:r>
      <w:r>
        <w:rPr>
          <w:b w:val="0"/>
          <w:i w:val="0"/>
          <w:smallCaps w:val="0"/>
          <w:strike w:val="0"/>
          <w:sz w:val="22"/>
          <w:u w:val="single"/>
        </w:rPr>
        <w:t xml:space="preserve">nology industry </w:t>
      </w:r>
      <w:r>
        <w:rPr>
          <w:b w:val="0"/>
          <w:i w:val="0"/>
          <w:smallCaps w:val="0"/>
          <w:strike w:val="0"/>
          <w:sz w:val="22"/>
          <w:highlight w:val="cyan"/>
          <w:u w:val="single"/>
        </w:rPr>
        <w:t>failed</w:t>
      </w:r>
      <w:r>
        <w:rPr>
          <w:b w:val="0"/>
          <w:i w:val="0"/>
          <w:smallCaps w:val="0"/>
          <w:strike w:val="0"/>
          <w:sz w:val="22"/>
          <w:u w:val="single"/>
        </w:rPr>
        <w:t xml:space="preserve"> </w:t>
      </w:r>
      <w:r>
        <w:rPr>
          <w:b w:val="0"/>
          <w:i w:val="0"/>
          <w:smallCaps w:val="0"/>
          <w:strike w:val="0"/>
          <w:sz w:val="22"/>
          <w:highlight w:val="cyan"/>
          <w:u w:val="single"/>
        </w:rPr>
        <w:t>before</w:t>
      </w:r>
      <w:r>
        <w:rPr>
          <w:b w:val="0"/>
          <w:i w:val="0"/>
          <w:smallCaps w:val="0"/>
          <w:strike w:val="0"/>
          <w:sz w:val="22"/>
          <w:u w:val="single"/>
        </w:rPr>
        <w:t xml:space="preserve"> the </w:t>
      </w:r>
      <w:r>
        <w:rPr>
          <w:b w:val="0"/>
          <w:i w:val="0"/>
          <w:smallCaps w:val="0"/>
          <w:strike w:val="0"/>
          <w:sz w:val="22"/>
          <w:highlight w:val="cyan"/>
          <w:u w:val="single"/>
        </w:rPr>
        <w:t>product</w:t>
      </w:r>
      <w:r>
        <w:rPr>
          <w:b w:val="0"/>
          <w:i w:val="0"/>
          <w:smallCaps w:val="0"/>
          <w:strike w:val="0"/>
          <w:sz w:val="22"/>
          <w:u w:val="single"/>
        </w:rPr>
        <w:t xml:space="preserve"> under development had </w:t>
      </w:r>
      <w:r>
        <w:rPr>
          <w:b w:val="0"/>
          <w:i w:val="0"/>
          <w:smallCaps w:val="0"/>
          <w:strike w:val="0"/>
          <w:sz w:val="22"/>
          <w:highlight w:val="cyan"/>
          <w:u w:val="single"/>
        </w:rPr>
        <w:t>reached</w:t>
      </w:r>
      <w:r>
        <w:rPr>
          <w:b w:val="0"/>
          <w:i w:val="0"/>
          <w:smallCaps w:val="0"/>
          <w:strike w:val="0"/>
          <w:sz w:val="22"/>
          <w:u w:val="single"/>
        </w:rPr>
        <w:t xml:space="preserve"> the </w:t>
      </w:r>
      <w:r>
        <w:rPr>
          <w:b w:val="0"/>
          <w:i w:val="0"/>
          <w:smallCaps w:val="0"/>
          <w:strike w:val="0"/>
          <w:sz w:val="22"/>
          <w:highlight w:val="cyan"/>
          <w:u w:val="single"/>
        </w:rPr>
        <w:t>market</w:t>
      </w:r>
      <w:r>
        <w:rPr>
          <w:b w:val="0"/>
          <w:i w:val="0"/>
          <w:smallCaps w:val="0"/>
          <w:strike w:val="0"/>
          <w:u w:val="none"/>
        </w:rPr>
        <w:t xml:space="preserve"> [</w:t>
      </w:r>
      <w:r>
        <w:rPr>
          <w:b w:val="0"/>
          <w:i w:val="0"/>
          <w:smallCaps w:val="0"/>
          <w:strike w:val="0"/>
          <w:u w:val="none"/>
        </w:rPr>
        <w:t>Havenaar</w:t>
      </w:r>
      <w:r>
        <w:rPr>
          <w:b w:val="0"/>
          <w:i w:val="0"/>
          <w:smallCaps w:val="0"/>
          <w:strike w:val="0"/>
          <w:u w:val="none"/>
        </w:rPr>
        <w:t xml:space="preserve"> and Hiscocks (2012)]. It must be emphasized that only about </w:t>
      </w:r>
      <w:r>
        <w:rPr>
          <w:b w:val="0"/>
          <w:i w:val="0"/>
          <w:smallCaps w:val="0"/>
          <w:strike w:val="0"/>
          <w:sz w:val="22"/>
          <w:u w:val="single"/>
        </w:rPr>
        <w:t xml:space="preserve">46% of failed partnerships were terminated due to unsatisfactory research results, while in about </w:t>
      </w:r>
      <w:r>
        <w:rPr>
          <w:b w:val="0"/>
          <w:i w:val="0"/>
          <w:smallCaps w:val="0"/>
          <w:strike w:val="0"/>
          <w:sz w:val="22"/>
          <w:highlight w:val="cyan"/>
          <w:u w:val="single"/>
        </w:rPr>
        <w:t>half the cases</w:t>
      </w:r>
      <w:r>
        <w:rPr>
          <w:b w:val="0"/>
          <w:i w:val="0"/>
          <w:smallCaps w:val="0"/>
          <w:strike w:val="0"/>
          <w:sz w:val="22"/>
          <w:u w:val="single"/>
        </w:rPr>
        <w:t xml:space="preserve"> the </w:t>
      </w:r>
      <w:r>
        <w:rPr>
          <w:b w:val="0"/>
          <w:i w:val="0"/>
          <w:smallCaps w:val="0"/>
          <w:strike w:val="0"/>
          <w:sz w:val="22"/>
          <w:highlight w:val="cyan"/>
          <w:u w:val="single"/>
        </w:rPr>
        <w:t>problems</w:t>
      </w:r>
      <w:r>
        <w:rPr>
          <w:b w:val="0"/>
          <w:i w:val="0"/>
          <w:smallCaps w:val="0"/>
          <w:strike w:val="0"/>
          <w:sz w:val="22"/>
          <w:u w:val="single"/>
        </w:rPr>
        <w:t xml:space="preserve"> appeared to be </w:t>
      </w:r>
      <w:r>
        <w:rPr>
          <w:b w:val="0"/>
          <w:i w:val="0"/>
          <w:smallCaps w:val="0"/>
          <w:strike w:val="0"/>
          <w:sz w:val="22"/>
          <w:highlight w:val="cyan"/>
          <w:u w:val="single"/>
        </w:rPr>
        <w:t>due</w:t>
      </w:r>
      <w:r>
        <w:rPr>
          <w:b w:val="0"/>
          <w:i w:val="0"/>
          <w:smallCaps w:val="0"/>
          <w:strike w:val="0"/>
          <w:sz w:val="22"/>
          <w:u w:val="single"/>
        </w:rPr>
        <w:t xml:space="preserve"> </w:t>
      </w:r>
      <w:r>
        <w:rPr>
          <w:b w:val="0"/>
          <w:i w:val="0"/>
          <w:smallCaps w:val="0"/>
          <w:strike w:val="0"/>
          <w:sz w:val="22"/>
          <w:highlight w:val="cyan"/>
          <w:u w:val="single"/>
        </w:rPr>
        <w:t>to</w:t>
      </w:r>
      <w:r>
        <w:rPr>
          <w:b w:val="0"/>
          <w:i w:val="0"/>
          <w:smallCaps w:val="0"/>
          <w:strike w:val="0"/>
          <w:sz w:val="22"/>
          <w:u w:val="single"/>
        </w:rPr>
        <w:t xml:space="preserve"> </w:t>
      </w:r>
      <w:r>
        <w:rPr>
          <w:b w:val="0"/>
          <w:i w:val="0"/>
          <w:smallCaps w:val="0"/>
          <w:strike w:val="0"/>
          <w:sz w:val="22"/>
          <w:highlight w:val="cyan"/>
          <w:u w:val="single"/>
        </w:rPr>
        <w:t>inter-organizational</w:t>
      </w:r>
      <w:r>
        <w:rPr>
          <w:b w:val="0"/>
          <w:i w:val="0"/>
          <w:smallCaps w:val="0"/>
          <w:strike w:val="0"/>
          <w:sz w:val="22"/>
          <w:u w:val="single"/>
        </w:rPr>
        <w:t xml:space="preserve"> </w:t>
      </w:r>
      <w:r>
        <w:rPr>
          <w:b w:val="0"/>
          <w:i w:val="0"/>
          <w:smallCaps w:val="0"/>
          <w:strike w:val="0"/>
          <w:sz w:val="22"/>
          <w:highlight w:val="cyan"/>
          <w:u w:val="single"/>
        </w:rPr>
        <w:t>relationships</w:t>
      </w:r>
      <w:r>
        <w:rPr>
          <w:b w:val="0"/>
          <w:i w:val="0"/>
          <w:smallCaps w:val="0"/>
          <w:strike w:val="0"/>
          <w:u w:val="none"/>
        </w:rPr>
        <w:t xml:space="preserve">. </w:t>
      </w:r>
      <w:r>
        <w:rPr>
          <w:b w:val="0"/>
          <w:i w:val="0"/>
          <w:smallCaps w:val="0"/>
          <w:strike w:val="0"/>
          <w:sz w:val="16"/>
          <w:u w:val="none"/>
        </w:rPr>
        <w:t xml:space="preserve">Biotechnology companies, however, have to rely on numerous cooperation partners, in the context of </w:t>
      </w:r>
      <w:r>
        <w:rPr>
          <w:b w:val="0"/>
          <w:i w:val="0"/>
          <w:smallCaps w:val="0"/>
          <w:strike w:val="0"/>
          <w:sz w:val="16"/>
          <w:u w:val="none"/>
        </w:rPr>
        <w:t>research-oriented</w:t>
      </w:r>
      <w:r>
        <w:rPr>
          <w:b w:val="0"/>
          <w:i w:val="0"/>
          <w:smallCaps w:val="0"/>
          <w:strike w:val="0"/>
          <w:sz w:val="16"/>
          <w:u w:val="none"/>
        </w:rPr>
        <w:t xml:space="preserve"> as well as other partnerships along the value chain [</w:t>
      </w:r>
      <w:r>
        <w:rPr>
          <w:b w:val="0"/>
          <w:i w:val="0"/>
          <w:smallCaps w:val="0"/>
          <w:strike w:val="0"/>
          <w:sz w:val="16"/>
          <w:u w:val="none"/>
        </w:rPr>
        <w:t>Hagedoorn</w:t>
      </w:r>
      <w:r>
        <w:rPr>
          <w:b w:val="0"/>
          <w:i w:val="0"/>
          <w:smallCaps w:val="0"/>
          <w:strike w:val="0"/>
          <w:sz w:val="16"/>
          <w:u w:val="none"/>
        </w:rPr>
        <w:t xml:space="preserve"> and </w:t>
      </w:r>
      <w:r>
        <w:rPr>
          <w:b w:val="0"/>
          <w:i w:val="0"/>
          <w:smallCaps w:val="0"/>
          <w:strike w:val="0"/>
          <w:sz w:val="16"/>
          <w:u w:val="none"/>
        </w:rPr>
        <w:t>Duysters</w:t>
      </w:r>
      <w:r>
        <w:rPr>
          <w:b w:val="0"/>
          <w:i w:val="0"/>
          <w:smallCaps w:val="0"/>
          <w:strike w:val="0"/>
          <w:sz w:val="16"/>
          <w:u w:val="none"/>
        </w:rPr>
        <w:t xml:space="preserve"> (2002)]. The company's success is therefore particularly dependent on the capabilities of all the partner companies, the design of the respective partnerships and ultimately on the success of the strategic partnerships [Baum et al. (2000)]. </w:t>
      </w:r>
      <w:r>
        <w:rPr>
          <w:b w:val="0"/>
          <w:i w:val="0"/>
          <w:smallCaps w:val="0"/>
          <w:strike w:val="0"/>
          <w:sz w:val="16"/>
          <w:u w:val="none"/>
        </w:rPr>
        <w:t>The analysis</w:t>
      </w:r>
      <w:r>
        <w:rPr>
          <w:b w:val="0"/>
          <w:i w:val="0"/>
          <w:smallCaps w:val="0"/>
          <w:strike w:val="0"/>
          <w:sz w:val="16"/>
          <w:u w:val="none"/>
        </w:rPr>
        <w:t xml:space="preserve"> of factors that explain the success of strategic partnerships in research-intensive industries such as the biotechnology industry can help companies to reduce the high failure rates. Given the importance of strategic partnerships for biotechnology companies, empirically validated success factors can therefore lead to significant efficiency gains. In previous academic work, the investigation of the success factors of interfirm partnerships took place in the context of different theoretical approaches and different industry sectors [</w:t>
      </w:r>
      <w:r>
        <w:rPr>
          <w:b w:val="0"/>
          <w:i w:val="0"/>
          <w:smallCaps w:val="0"/>
          <w:strike w:val="0"/>
          <w:sz w:val="16"/>
          <w:u w:val="none"/>
        </w:rPr>
        <w:t>Duysters</w:t>
      </w:r>
      <w:r>
        <w:rPr>
          <w:b w:val="0"/>
          <w:i w:val="0"/>
          <w:smallCaps w:val="0"/>
          <w:strike w:val="0"/>
          <w:sz w:val="16"/>
          <w:u w:val="none"/>
        </w:rPr>
        <w:t xml:space="preserve"> et al. (1999); Gulati (1998); Jiang et al. (2008); Kale and Singh (2007); Pekar and Allio (1994); Taylor (2005); Zollo et al. (2002)]. However, many of the existing works only use a single predominant theoretical </w:t>
      </w:r>
      <w:r>
        <w:rPr>
          <w:b w:val="0"/>
          <w:i w:val="0"/>
          <w:smallCaps w:val="0"/>
          <w:strike w:val="0"/>
          <w:sz w:val="16"/>
          <w:u w:val="none"/>
        </w:rPr>
        <w:t>approach, or</w:t>
      </w:r>
      <w:r>
        <w:rPr>
          <w:b w:val="0"/>
          <w:i w:val="0"/>
          <w:smallCaps w:val="0"/>
          <w:strike w:val="0"/>
          <w:sz w:val="16"/>
          <w:u w:val="none"/>
        </w:rPr>
        <w:t xml:space="preserve"> focus on factors that are of relevance at or after the formation of a strategic partnership [Deitz et al. (2010); Mohr and </w:t>
      </w:r>
      <w:r>
        <w:rPr>
          <w:b w:val="0"/>
          <w:i w:val="0"/>
          <w:smallCaps w:val="0"/>
          <w:strike w:val="0"/>
          <w:sz w:val="16"/>
          <w:u w:val="none"/>
        </w:rPr>
        <w:t>Spekman</w:t>
      </w:r>
      <w:r>
        <w:rPr>
          <w:b w:val="0"/>
          <w:i w:val="0"/>
          <w:smallCaps w:val="0"/>
          <w:strike w:val="0"/>
          <w:sz w:val="16"/>
          <w:u w:val="none"/>
        </w:rPr>
        <w:t xml:space="preserve"> (1994)]. Frequently no account is taken of the specificities that occur </w:t>
      </w:r>
      <w:r>
        <w:rPr>
          <w:b w:val="0"/>
          <w:i w:val="0"/>
          <w:smallCaps w:val="0"/>
          <w:strike w:val="0"/>
          <w:sz w:val="16"/>
          <w:u w:val="none"/>
        </w:rPr>
        <w:t>with regard to</w:t>
      </w:r>
      <w:r>
        <w:rPr>
          <w:b w:val="0"/>
          <w:i w:val="0"/>
          <w:smallCaps w:val="0"/>
          <w:strike w:val="0"/>
          <w:sz w:val="16"/>
          <w:u w:val="none"/>
        </w:rPr>
        <w:t xml:space="preserve"> the measurement of success in partnerships. In addition, there are only a few studies which deal with the characteristics of research-intensive industries and </w:t>
      </w:r>
      <w:r>
        <w:rPr>
          <w:b w:val="0"/>
          <w:i w:val="0"/>
          <w:smallCaps w:val="0"/>
          <w:strike w:val="0"/>
          <w:sz w:val="16"/>
          <w:u w:val="none"/>
        </w:rPr>
        <w:t>in particular of</w:t>
      </w:r>
      <w:r>
        <w:rPr>
          <w:b w:val="0"/>
          <w:i w:val="0"/>
          <w:smallCaps w:val="0"/>
          <w:strike w:val="0"/>
          <w:sz w:val="16"/>
          <w:u w:val="none"/>
        </w:rPr>
        <w:t xml:space="preserve"> the biotechnology industry [Al-Laham et al. (2010); Baden-Fuller and Morgan (2010); Baum et al. (2000); Stuart (2000); Zollo et al. (2002)].</w:t>
      </w:r>
      <w:r>
        <w:rPr>
          <w:b w:val="0"/>
          <w:i w:val="0"/>
          <w:smallCaps w:val="0"/>
          <w:strike w:val="0"/>
          <w:u w:val="none"/>
        </w:rPr>
        <w:t xml:space="preserve"> From the perspective of the present study, these aspects can be an explanation of why </w:t>
      </w:r>
      <w:r>
        <w:rPr>
          <w:b w:val="0"/>
          <w:i w:val="0"/>
          <w:smallCaps w:val="0"/>
          <w:strike w:val="0"/>
          <w:sz w:val="22"/>
          <w:highlight w:val="cyan"/>
          <w:u w:val="single"/>
        </w:rPr>
        <w:t>the</w:t>
      </w:r>
      <w:r>
        <w:rPr>
          <w:b w:val="0"/>
          <w:i w:val="0"/>
          <w:smallCaps w:val="0"/>
          <w:strike w:val="0"/>
          <w:sz w:val="22"/>
          <w:u w:val="single"/>
        </w:rPr>
        <w:t xml:space="preserve"> </w:t>
      </w:r>
      <w:r>
        <w:rPr>
          <w:b w:val="0"/>
          <w:i w:val="0"/>
          <w:smallCaps w:val="0"/>
          <w:strike w:val="0"/>
          <w:sz w:val="22"/>
          <w:highlight w:val="cyan"/>
          <w:u w:val="single"/>
        </w:rPr>
        <w:t>failure</w:t>
      </w:r>
      <w:r>
        <w:rPr>
          <w:b w:val="0"/>
          <w:i w:val="0"/>
          <w:smallCaps w:val="0"/>
          <w:strike w:val="0"/>
          <w:sz w:val="22"/>
          <w:u w:val="single"/>
        </w:rPr>
        <w:t xml:space="preserve"> </w:t>
      </w:r>
      <w:r>
        <w:rPr>
          <w:b w:val="0"/>
          <w:i w:val="0"/>
          <w:smallCaps w:val="0"/>
          <w:strike w:val="0"/>
          <w:sz w:val="22"/>
          <w:highlight w:val="cyan"/>
          <w:u w:val="single"/>
        </w:rPr>
        <w:t>rate</w:t>
      </w:r>
      <w:r>
        <w:rPr>
          <w:b w:val="0"/>
          <w:i w:val="0"/>
          <w:smallCaps w:val="0"/>
          <w:strike w:val="0"/>
          <w:sz w:val="22"/>
          <w:u w:val="single"/>
        </w:rPr>
        <w:t xml:space="preserve"> </w:t>
      </w:r>
      <w:r>
        <w:rPr>
          <w:b w:val="0"/>
          <w:i w:val="0"/>
          <w:smallCaps w:val="0"/>
          <w:strike w:val="0"/>
          <w:sz w:val="22"/>
          <w:highlight w:val="cyan"/>
          <w:u w:val="single"/>
        </w:rPr>
        <w:t>for</w:t>
      </w:r>
      <w:r>
        <w:rPr>
          <w:b w:val="0"/>
          <w:i w:val="0"/>
          <w:smallCaps w:val="0"/>
          <w:strike w:val="0"/>
          <w:sz w:val="22"/>
          <w:u w:val="single"/>
        </w:rPr>
        <w:t xml:space="preserve"> </w:t>
      </w:r>
      <w:r>
        <w:rPr>
          <w:b w:val="0"/>
          <w:i w:val="0"/>
          <w:smallCaps w:val="0"/>
          <w:strike w:val="0"/>
          <w:sz w:val="22"/>
          <w:highlight w:val="cyan"/>
          <w:u w:val="single"/>
        </w:rPr>
        <w:t>partnerships</w:t>
      </w:r>
      <w:r>
        <w:rPr>
          <w:b w:val="0"/>
          <w:i w:val="0"/>
          <w:smallCaps w:val="0"/>
          <w:strike w:val="0"/>
          <w:sz w:val="22"/>
          <w:u w:val="single"/>
        </w:rPr>
        <w:t xml:space="preserve"> </w:t>
      </w:r>
      <w:r>
        <w:rPr>
          <w:b w:val="0"/>
          <w:i w:val="0"/>
          <w:smallCaps w:val="0"/>
          <w:strike w:val="0"/>
          <w:sz w:val="22"/>
          <w:highlight w:val="cyan"/>
          <w:u w:val="single"/>
        </w:rPr>
        <w:t>in</w:t>
      </w:r>
      <w:r>
        <w:rPr>
          <w:b w:val="0"/>
          <w:i w:val="0"/>
          <w:smallCaps w:val="0"/>
          <w:strike w:val="0"/>
          <w:sz w:val="22"/>
          <w:u w:val="single"/>
        </w:rPr>
        <w:t xml:space="preserve"> </w:t>
      </w:r>
      <w:r>
        <w:rPr>
          <w:b w:val="0"/>
          <w:i w:val="0"/>
          <w:smallCaps w:val="0"/>
          <w:strike w:val="0"/>
          <w:sz w:val="22"/>
          <w:highlight w:val="cyan"/>
          <w:u w:val="single"/>
        </w:rPr>
        <w:t>the biotech</w:t>
      </w:r>
      <w:r>
        <w:rPr>
          <w:b w:val="0"/>
          <w:i w:val="0"/>
          <w:smallCaps w:val="0"/>
          <w:strike w:val="0"/>
          <w:sz w:val="22"/>
          <w:u w:val="single"/>
        </w:rPr>
        <w:t xml:space="preserve">nology industry, </w:t>
      </w:r>
      <w:r>
        <w:rPr>
          <w:b w:val="0"/>
          <w:i w:val="0"/>
          <w:smallCaps w:val="0"/>
          <w:strike w:val="0"/>
          <w:sz w:val="22"/>
          <w:highlight w:val="cyan"/>
          <w:u w:val="single"/>
        </w:rPr>
        <w:t>despite</w:t>
      </w:r>
      <w:r>
        <w:rPr>
          <w:b w:val="0"/>
          <w:i w:val="0"/>
          <w:smallCaps w:val="0"/>
          <w:strike w:val="0"/>
          <w:sz w:val="22"/>
          <w:u w:val="single"/>
        </w:rPr>
        <w:t xml:space="preserve"> the many </w:t>
      </w:r>
      <w:r>
        <w:rPr>
          <w:b w:val="0"/>
          <w:i w:val="0"/>
          <w:smallCaps w:val="0"/>
          <w:strike w:val="0"/>
          <w:sz w:val="22"/>
          <w:highlight w:val="cyan"/>
          <w:u w:val="single"/>
        </w:rPr>
        <w:t>years</w:t>
      </w:r>
      <w:r>
        <w:rPr>
          <w:b w:val="0"/>
          <w:i w:val="0"/>
          <w:smallCaps w:val="0"/>
          <w:strike w:val="0"/>
          <w:sz w:val="22"/>
          <w:u w:val="single"/>
        </w:rPr>
        <w:t xml:space="preserve"> </w:t>
      </w:r>
      <w:r>
        <w:rPr>
          <w:b w:val="0"/>
          <w:i w:val="0"/>
          <w:smallCaps w:val="0"/>
          <w:strike w:val="0"/>
          <w:sz w:val="22"/>
          <w:highlight w:val="cyan"/>
          <w:u w:val="single"/>
        </w:rPr>
        <w:t>of</w:t>
      </w:r>
      <w:r>
        <w:rPr>
          <w:b w:val="0"/>
          <w:i w:val="0"/>
          <w:smallCaps w:val="0"/>
          <w:strike w:val="0"/>
          <w:sz w:val="22"/>
          <w:u w:val="single"/>
        </w:rPr>
        <w:t xml:space="preserve"> </w:t>
      </w:r>
      <w:r>
        <w:rPr>
          <w:b w:val="0"/>
          <w:i w:val="0"/>
          <w:smallCaps w:val="0"/>
          <w:strike w:val="0"/>
          <w:sz w:val="22"/>
          <w:highlight w:val="cyan"/>
          <w:u w:val="single"/>
        </w:rPr>
        <w:t>scientific investigation</w:t>
      </w:r>
      <w:r>
        <w:rPr>
          <w:b w:val="0"/>
          <w:i w:val="0"/>
          <w:smallCaps w:val="0"/>
          <w:strike w:val="0"/>
          <w:sz w:val="22"/>
          <w:u w:val="single"/>
        </w:rPr>
        <w:t xml:space="preserve"> of potential success factors, </w:t>
      </w:r>
      <w:r>
        <w:rPr>
          <w:b w:val="0"/>
          <w:i w:val="0"/>
          <w:smallCaps w:val="0"/>
          <w:strike w:val="0"/>
          <w:sz w:val="22"/>
          <w:highlight w:val="cyan"/>
          <w:u w:val="single"/>
        </w:rPr>
        <w:t>is</w:t>
      </w:r>
      <w:r>
        <w:rPr>
          <w:b w:val="0"/>
          <w:i w:val="0"/>
          <w:smallCaps w:val="0"/>
          <w:strike w:val="0"/>
          <w:sz w:val="22"/>
          <w:u w:val="single"/>
        </w:rPr>
        <w:t xml:space="preserve"> </w:t>
      </w:r>
      <w:r>
        <w:rPr>
          <w:b w:val="0"/>
          <w:i w:val="0"/>
          <w:smallCaps w:val="0"/>
          <w:strike w:val="0"/>
          <w:sz w:val="22"/>
          <w:highlight w:val="cyan"/>
          <w:u w:val="single"/>
        </w:rPr>
        <w:t>still</w:t>
      </w:r>
      <w:r>
        <w:rPr>
          <w:b w:val="0"/>
          <w:i w:val="0"/>
          <w:smallCaps w:val="0"/>
          <w:strike w:val="0"/>
          <w:sz w:val="22"/>
          <w:u w:val="single"/>
        </w:rPr>
        <w:t xml:space="preserve"> </w:t>
      </w:r>
      <w:r>
        <w:rPr>
          <w:b w:val="0"/>
          <w:i w:val="0"/>
          <w:smallCaps w:val="0"/>
          <w:strike w:val="0"/>
          <w:sz w:val="22"/>
          <w:highlight w:val="cyan"/>
          <w:u w:val="single"/>
        </w:rPr>
        <w:t>unsatisfactorily</w:t>
      </w:r>
      <w:r>
        <w:rPr>
          <w:b w:val="0"/>
          <w:i w:val="0"/>
          <w:smallCaps w:val="0"/>
          <w:strike w:val="0"/>
          <w:sz w:val="22"/>
          <w:u w:val="single"/>
        </w:rPr>
        <w:t xml:space="preserve"> </w:t>
      </w:r>
      <w:r>
        <w:rPr>
          <w:b w:val="0"/>
          <w:i w:val="0"/>
          <w:smallCaps w:val="0"/>
          <w:strike w:val="0"/>
          <w:sz w:val="22"/>
          <w:highlight w:val="cyan"/>
          <w:u w:val="single"/>
        </w:rPr>
        <w:t>high</w:t>
      </w:r>
      <w:r>
        <w:rPr>
          <w:b w:val="0"/>
          <w:i w:val="0"/>
          <w:smallCaps w:val="0"/>
          <w:strike w:val="0"/>
          <w:sz w:val="22"/>
          <w:u w:val="single"/>
        </w:rPr>
        <w:t>.</w:t>
      </w:r>
      <w:r>
        <w:rPr>
          <w:b w:val="0"/>
          <w:i w:val="0"/>
          <w:smallCaps w:val="0"/>
          <w:strike w:val="0"/>
          <w:u w:val="none"/>
        </w:rPr>
        <w:t xml:space="preserve"> The aim of this study is thus to derive factors from the resource-oriented approach as well as from the relationship-oriented approach </w:t>
      </w:r>
      <w:r>
        <w:rPr>
          <w:b w:val="0"/>
          <w:i w:val="0"/>
          <w:smallCaps w:val="0"/>
          <w:strike w:val="0"/>
          <w:sz w:val="16"/>
          <w:u w:val="none"/>
        </w:rPr>
        <w:t xml:space="preserve">and to verify empirically their impact on the success of strategic partnerships in the medical biotechnology industry. The derived factors thus relate to aspects that may be relevant both at and after the formation of the partnership. In summary, we can derive the following research question for this work: What factors influence the success of a strategic partnership in the medical biotechnology industry from the perspective of the resource- and relationship-oriented approach? The study is structured as follows: Chap. 2 deals with the basics of strategic partnerships in research-intensive industries. In this context, </w:t>
      </w:r>
      <w:r>
        <w:rPr>
          <w:b w:val="0"/>
          <w:i w:val="0"/>
          <w:smallCaps w:val="0"/>
          <w:strike w:val="0"/>
          <w:sz w:val="16"/>
          <w:u w:val="none"/>
        </w:rPr>
        <w:t>structure</w:t>
      </w:r>
      <w:r>
        <w:rPr>
          <w:b w:val="0"/>
          <w:i w:val="0"/>
          <w:smallCaps w:val="0"/>
          <w:strike w:val="0"/>
          <w:sz w:val="16"/>
          <w:u w:val="none"/>
        </w:rPr>
        <w:t xml:space="preserve"> and aims of strategic partnerships along the value chain of the medical biotechnology industry are described. In Chap. 3, the hypotheses are derived in the light of the existing literature and an appropriate model is formulated. In Chap. 4, the results of the empirical study are presented and discussed. Chapter 5 continues with a summary of the results, making </w:t>
      </w:r>
      <w:r>
        <w:rPr>
          <w:b w:val="0"/>
          <w:i w:val="0"/>
          <w:smallCaps w:val="0"/>
          <w:strike w:val="0"/>
          <w:sz w:val="16"/>
          <w:u w:val="none"/>
        </w:rPr>
        <w:t>particular reference</w:t>
      </w:r>
      <w:r>
        <w:rPr>
          <w:b w:val="0"/>
          <w:i w:val="0"/>
          <w:smallCaps w:val="0"/>
          <w:strike w:val="0"/>
          <w:sz w:val="16"/>
          <w:u w:val="none"/>
        </w:rPr>
        <w:t xml:space="preserve"> to the limitations of this work and the need for further research.</w:t>
      </w:r>
    </w:p>
    <w:p>
      <w:pPr>
        <w:pStyle w:val="Caption"/>
      </w:pPr>
      <w:r>
        <w:t>Source: DA Updates - Michigan 2024 GLW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