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Food crises escalate empirically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>Zimerman 2024 [Artur; January 31; CECS, Federal University of ABC Region (UFABC), Santo Andre, Brazil, PhD; Sage Journals; “The Agrarian Conflicts and Food Crises Nexus in Contemporary Latin America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”]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Food crises are a recurring issue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impact</w:t>
      </w:r>
      <w:r>
        <w:rPr>
          <w:b w:val="0"/>
          <w:i w:val="0"/>
          <w:smallCaps w:val="0"/>
          <w:strike w:val="0"/>
          <w:u w:val="none"/>
        </w:rPr>
        <w:t xml:space="preserve">s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a significant number of impoverished families in </w:t>
      </w:r>
      <w:r>
        <w:rPr>
          <w:b w:val="0"/>
          <w:i w:val="0"/>
          <w:smallCaps w:val="0"/>
          <w:strike w:val="0"/>
          <w:sz w:val="22"/>
          <w:u w:val="single"/>
        </w:rPr>
        <w:t>developing countries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and they often lack access to sufficient public assistance. This study focused on </w:t>
      </w:r>
      <w:r>
        <w:rPr>
          <w:b w:val="0"/>
          <w:i w:val="0"/>
          <w:smallCaps w:val="0"/>
          <w:strike w:val="0"/>
          <w:sz w:val="22"/>
          <w:u w:val="single"/>
        </w:rPr>
        <w:t>Latin America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, a region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presented waves of food riots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during and after such crises</w:t>
      </w:r>
      <w:r>
        <w:rPr>
          <w:b w:val="0"/>
          <w:i w:val="0"/>
          <w:smallCaps w:val="0"/>
          <w:strike w:val="0"/>
          <w:color w:val="333333"/>
          <w:u w:val="none"/>
        </w:rPr>
        <w:t>. Our primary concern was with the well-being of the rural poor, who face additional obstacles due to their geographical distance from centers of political power and comparatively limited support systems within their respective countries.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33333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empirical analyses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conducted for Latin America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largely supported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initial hypotheses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. Furthermore, some of the results regarding the explanation of statistical models based on the data for the Latin American region </w:t>
      </w:r>
      <w:r>
        <w:rPr>
          <w:b w:val="0"/>
          <w:i w:val="0"/>
          <w:smallCaps w:val="0"/>
          <w:strike w:val="0"/>
          <w:sz w:val="22"/>
          <w:u w:val="single"/>
        </w:rPr>
        <w:t>were confirmed in models for countries worldwide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. For instance, </w:t>
      </w:r>
      <w:r>
        <w:rPr>
          <w:b w:val="0"/>
          <w:i w:val="0"/>
          <w:smallCaps w:val="0"/>
          <w:strike w:val="0"/>
          <w:color w:val="333333"/>
          <w:highlight w:val="cyan"/>
          <w:u w:val="none"/>
        </w:rPr>
        <w:t>the association of food riots with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(1) employment in agriculture; (2) political polarization; and (3) inequality were consistent. On the other hand, another set of </w:t>
      </w:r>
      <w:r>
        <w:rPr>
          <w:b w:val="0"/>
          <w:i w:val="0"/>
          <w:smallCaps w:val="0"/>
          <w:strike w:val="0"/>
          <w:color w:val="333333"/>
          <w:highlight w:val="cyan"/>
          <w:u w:val="none"/>
        </w:rPr>
        <w:t>variables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including (1) land grab area; (2) tenure security; (3) arable land; (4) urbanization; and (5) hybrid regimes demonstrated statistical significance exclusively for the Latin American region, with its unique characteristics. This, in itself, validates the focus of this research on Latin American countries.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33333"/>
          <w:u w:val="none"/>
        </w:rPr>
        <w:t xml:space="preserve">However, further research is necessary to gather additional data and delve deeper into this investigation.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Preliminarily, 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conclude that factors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inequality, hybrid political regimes, rising food prices </w:t>
      </w:r>
      <w:r>
        <w:rPr>
          <w:b w:val="0"/>
          <w:i w:val="0"/>
          <w:smallCaps w:val="0"/>
          <w:strike w:val="0"/>
          <w:u w:val="none"/>
        </w:rPr>
        <w:t>that hinder proper nutrition, widespread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land grabbing, tenure insecurity, </w:t>
      </w:r>
      <w:r>
        <w:rPr>
          <w:b w:val="0"/>
          <w:i w:val="0"/>
          <w:smallCaps w:val="0"/>
          <w:strike w:val="0"/>
          <w:u w:val="none"/>
        </w:rPr>
        <w:t xml:space="preserve">high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agricultural unemployment, and </w:t>
      </w:r>
      <w:r>
        <w:rPr>
          <w:b w:val="0"/>
          <w:i w:val="0"/>
          <w:smallCaps w:val="0"/>
          <w:strike w:val="0"/>
          <w:u w:val="none"/>
        </w:rPr>
        <w:t xml:space="preserve">political </w:t>
      </w:r>
      <w:r>
        <w:rPr>
          <w:b w:val="0"/>
          <w:i w:val="0"/>
          <w:smallCaps w:val="0"/>
          <w:strike w:val="0"/>
          <w:sz w:val="22"/>
          <w:u w:val="single"/>
        </w:rPr>
        <w:t>polarization contribute to increased participation in food riots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, and when confronted by repressive state forces,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often escalate into violence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Latin America and the world, in general.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