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governance possible, empirics proves</w:t>
      </w:r>
    </w:p>
    <w:p>
      <w:pPr>
        <w:spacing w:after="80"/>
      </w:pPr>
      <w:r>
        <w:rPr>
          <w:b/>
          <w:i w:val="0"/>
          <w:smallCaps w:val="0"/>
          <w:strike w:val="0"/>
          <w:sz w:val="26"/>
          <w:u w:val="none"/>
        </w:rPr>
        <w:t xml:space="preserve">Habuka 24 </w:t>
      </w:r>
      <w:r>
        <w:rPr>
          <w:b w:val="0"/>
          <w:i w:val="0"/>
          <w:smallCaps w:val="0"/>
          <w:strike w:val="0"/>
          <w:u w:val="none"/>
        </w:rPr>
        <w:t xml:space="preserve">(Hikori Habuka, Senior Associate and writer for the center for strategic and international studies, 05/24/24, Accessed on 7/24/24, </w:t>
      </w:r>
      <w:r>
        <w:rPr>
          <w:b w:val="0"/>
          <w:i w:val="0"/>
          <w:smallCaps w:val="0"/>
          <w:strike w:val="0"/>
          <w:u w:val="none"/>
        </w:rPr>
        <w:t>https://www.csis.org/analysis/shaping-global-ai-governance-enhancements-and-next-steps-g7-hiroshima-ai-process</w:t>
      </w:r>
      <w:r>
        <w:rPr>
          <w:b w:val="0"/>
          <w:i w:val="0"/>
          <w:smallCaps w:val="0"/>
          <w:strike w:val="0"/>
          <w:u w:val="none"/>
        </w:rPr>
        <w:t>)</w:t>
      </w:r>
    </w:p>
    <w:p>
      <w:pPr>
        <w:spacing w:after="60"/>
      </w:pPr>
      <w:r>
        <w:rPr>
          <w:b w:val="0"/>
          <w:i w:val="0"/>
          <w:smallCaps w:val="0"/>
          <w:strike w:val="0"/>
          <w:u w:val="none"/>
        </w:rPr>
        <w:t xml:space="preserve">Following the deep-learning breakthroughs of the early 2010s, AI adoption surged across a myriad of industries and sectors. This rapid integration process brought to light a multitude of potential risks. From fatal accidents involving autonomous vehicles to discriminatory hiring practices by AI algorithms, the real-world consequences of AI development have become increasingly evident. </w:t>
      </w:r>
      <w:r>
        <w:rPr>
          <w:b w:val="0"/>
          <w:i w:val="0"/>
          <w:smallCaps w:val="0"/>
          <w:strike w:val="0"/>
          <w:u w:val="single"/>
        </w:rPr>
        <w:t>Furthermore, manipulation of financial markets by algorithmic trading and the spread of misinformation on social media platforms highlight the broader societal concerns surrounding AI</w:t>
      </w:r>
      <w:r>
        <w:rPr>
          <w:b w:val="0"/>
          <w:i w:val="0"/>
          <w:smallCaps w:val="0"/>
          <w:strike w:val="0"/>
          <w:highlight w:val="cyan"/>
          <w:u w:val="single"/>
        </w:rPr>
        <w:t>. Fueled by growing awareness of AI risks</w:t>
      </w:r>
      <w:r>
        <w:rPr>
          <w:b w:val="0"/>
          <w:i w:val="0"/>
          <w:smallCaps w:val="0"/>
          <w:strike w:val="0"/>
          <w:u w:val="single"/>
        </w:rPr>
        <w:t xml:space="preserve"> in the mid-2010s, </w:t>
      </w:r>
      <w:r>
        <w:rPr>
          <w:b w:val="0"/>
          <w:i w:val="0"/>
          <w:smallCaps w:val="0"/>
          <w:strike w:val="0"/>
          <w:highlight w:val="cyan"/>
          <w:u w:val="single"/>
        </w:rPr>
        <w:t xml:space="preserve">national governments </w:t>
      </w:r>
      <w:r>
        <w:rPr>
          <w:b w:val="0"/>
          <w:i w:val="0"/>
          <w:smallCaps w:val="0"/>
          <w:strike w:val="0"/>
          <w:u w:val="single"/>
        </w:rPr>
        <w:t>(including G7 members</w:t>
      </w:r>
      <w:r>
        <w:rPr>
          <w:b w:val="0"/>
          <w:i w:val="0"/>
          <w:smallCaps w:val="0"/>
          <w:strike w:val="0"/>
          <w:u w:val="single"/>
        </w:rPr>
        <w:t xml:space="preserve">), international organizations, tech companies, and nonprofits </w:t>
      </w:r>
      <w:r>
        <w:rPr>
          <w:b w:val="0"/>
          <w:i w:val="0"/>
          <w:smallCaps w:val="0"/>
          <w:strike w:val="0"/>
          <w:highlight w:val="cyan"/>
          <w:u w:val="single"/>
        </w:rPr>
        <w:t>launched a wave of policy and principle publications</w:t>
      </w:r>
      <w:r>
        <w:rPr>
          <w:b w:val="0"/>
          <w:i w:val="0"/>
          <w:smallCaps w:val="0"/>
          <w:strike w:val="0"/>
          <w:u w:val="none"/>
        </w:rPr>
        <w:t xml:space="preserve">. Prominent </w:t>
      </w:r>
      <w:r>
        <w:rPr>
          <w:b w:val="0"/>
          <w:i w:val="0"/>
          <w:smallCaps w:val="0"/>
          <w:strike w:val="0"/>
          <w:highlight w:val="cyan"/>
          <w:u w:val="none"/>
        </w:rPr>
        <w:t xml:space="preserve">examples include </w:t>
      </w:r>
      <w:r>
        <w:rPr>
          <w:b w:val="0"/>
          <w:i w:val="0"/>
          <w:smallCaps w:val="0"/>
          <w:strike w:val="0"/>
          <w:highlight w:val="cyan"/>
          <w:u w:val="single"/>
        </w:rPr>
        <w:t>the European Union’s 2019 Ethics Guidelines for Trustworthy AI, the Recommendation of the Council on Artificial Intelligence by the OECD in 2019 (updated in 2024</w:t>
      </w:r>
      <w:r>
        <w:rPr>
          <w:b w:val="0"/>
          <w:i w:val="0"/>
          <w:smallCaps w:val="0"/>
          <w:strike w:val="0"/>
          <w:u w:val="single"/>
        </w:rPr>
        <w:t>),</w:t>
      </w:r>
      <w:r>
        <w:rPr>
          <w:b w:val="0"/>
          <w:i w:val="0"/>
          <w:smallCaps w:val="0"/>
          <w:strike w:val="0"/>
          <w:u w:val="none"/>
        </w:rPr>
        <w:t xml:space="preserve"> and the Recommendation on the Ethics of Artificial Intelligence by the United Nations Educational, Scientific and Cultural Organization (UNESCO) in 2021. These publications emphasized pairing AI development with core values such as human rights, democracy, and sustainability as well as key principles including fairness, privacy, safety, security, transparency, and accountability.</w:t>
      </w:r>
      <w:r>
        <w:rPr>
          <w:b w:val="0"/>
          <w:i w:val="0"/>
          <w:smallCaps w:val="0"/>
          <w:strike w:val="0"/>
          <w:u w:val="none"/>
        </w:rPr>
        <w:t xml:space="preserve"> </w:t>
      </w:r>
      <w:r>
        <w:rPr>
          <w:b w:val="0"/>
          <w:i w:val="0"/>
          <w:smallCaps w:val="0"/>
          <w:strike w:val="0"/>
          <w:u w:val="none"/>
        </w:rPr>
        <w:t>While fundamental values and AI principles provide a crucial foundation, translating them into implementable standards for AI systems remains a challenge. Addressing this challenge requires concrete and material guidance. Various initiatives have been undertaken at different levels to bridge this gap</w:t>
      </w:r>
      <w:r>
        <w:rPr>
          <w:b w:val="0"/>
          <w:i w:val="0"/>
          <w:smallCaps w:val="0"/>
          <w:strike w:val="0"/>
          <w:highlight w:val="cyan"/>
          <w:u w:val="single"/>
        </w:rPr>
        <w:t>. At the national level, examples include the AI Risk Management Framework (RMF) published by the National Institute of Standards and Technology</w:t>
      </w:r>
      <w:r>
        <w:rPr>
          <w:b w:val="0"/>
          <w:i w:val="0"/>
          <w:smallCaps w:val="0"/>
          <w:strike w:val="0"/>
          <w:u w:val="single"/>
        </w:rPr>
        <w:t xml:space="preserve"> (NIST) in the United States in January 2023 and Japan’s AI Guidelines for Business. On a supra-national scale, leading examples include the 2023 AI Safety Summit’s Emerging Processes for Frontier AI Safety and the G7’s HCOC—the focus of this report. Additionally, </w:t>
      </w:r>
      <w:r>
        <w:rPr>
          <w:b w:val="0"/>
          <w:i w:val="0"/>
          <w:smallCaps w:val="0"/>
          <w:strike w:val="0"/>
          <w:highlight w:val="cyan"/>
          <w:u w:val="single"/>
        </w:rPr>
        <w:t>nongovernmental organizations</w:t>
      </w:r>
      <w:r>
        <w:rPr>
          <w:b w:val="0"/>
          <w:i w:val="0"/>
          <w:smallCaps w:val="0"/>
          <w:strike w:val="0"/>
          <w:u w:val="single"/>
        </w:rPr>
        <w:t xml:space="preserve"> such as the International Organization for Standardization (ISO) </w:t>
      </w:r>
      <w:r>
        <w:rPr>
          <w:b w:val="0"/>
          <w:i w:val="0"/>
          <w:smallCaps w:val="0"/>
          <w:strike w:val="0"/>
          <w:highlight w:val="cyan"/>
          <w:u w:val="single"/>
        </w:rPr>
        <w:t>have contributed by issuing international standards on AI governance</w:t>
      </w:r>
      <w:r>
        <w:rPr>
          <w:b w:val="0"/>
          <w:i w:val="0"/>
          <w:smallCaps w:val="0"/>
          <w:strike w:val="0"/>
          <w:u w:val="none"/>
        </w:rPr>
        <w:t>. The AI management system standard ISO/IEC 42001 was published in December 2023. The Human Rights, Democracy, and the Rule of Law Assurance Framework for AI Systems (HUDERAF), proposed by the Alan Turing Institute to the Council of Europe’s Ad Hoc Committee on Artificial Intelligence, is another significant example of AI risk management and stakeholder engagement. Collectively, these diverse approaches underscore the ongoing efforts to transform abstract AI principles into a practical and implementable reality.</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