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White house </w:t>
      </w:r>
      <w:r>
        <w:rPr>
          <w:b/>
          <w:i w:val="0"/>
          <w:smallCaps w:val="0"/>
          <w:strike w:val="0"/>
          <w:sz w:val="26"/>
          <w:u w:val="none"/>
        </w:rPr>
        <w:t>already</w:t>
      </w:r>
      <w:r>
        <w:rPr>
          <w:b/>
          <w:i w:val="0"/>
          <w:smallCaps w:val="0"/>
          <w:strike w:val="0"/>
          <w:sz w:val="26"/>
          <w:u w:val="none"/>
        </w:rPr>
        <w:t xml:space="preserve"> working to increase telecom innovation through grants.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National Telecommunications and Information Administration United States Department of Commerce</w:t>
      </w:r>
      <w:r>
        <w:rPr>
          <w:b/>
          <w:i w:val="0"/>
          <w:smallCaps w:val="0"/>
          <w:strike w:val="0"/>
          <w:sz w:val="26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6/12/20</w:t>
      </w:r>
      <w:r>
        <w:rPr>
          <w:b/>
          <w:i w:val="0"/>
          <w:smallCaps w:val="0"/>
          <w:strike w:val="0"/>
          <w:sz w:val="26"/>
          <w:u w:val="single"/>
        </w:rPr>
        <w:t>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“Understanding </w:t>
      </w:r>
      <w:r>
        <w:rPr>
          <w:b w:val="0"/>
          <w:i w:val="0"/>
          <w:smallCaps w:val="0"/>
          <w:strike w:val="0"/>
          <w:sz w:val="22"/>
          <w:u w:val="none"/>
        </w:rPr>
        <w:t>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Difference Between Domestic And International Intellectual Property Law”, Accessed 6/29/2024, https://www.ntia.gov/funding-programs // IL TG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Over the 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next decade</w:t>
      </w:r>
      <w:r>
        <w:rPr>
          <w:b w:val="0"/>
          <w:i w:val="0"/>
          <w:smallCaps w:val="0"/>
          <w:strike w:val="0"/>
          <w:sz w:val="22"/>
          <w:u w:val="none"/>
        </w:rPr>
        <w:t>, the Biden-Harris Administration, led by the U.S. Commerce Department’s National Telecommunications and Information Administration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NTIA</w:t>
      </w:r>
      <w:r>
        <w:rPr>
          <w:b/>
          <w:i w:val="0"/>
          <w:smallCaps w:val="0"/>
          <w:strike w:val="0"/>
          <w:sz w:val="22"/>
          <w:u w:val="single"/>
        </w:rPr>
        <w:t xml:space="preserve">),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</w:t>
      </w:r>
      <w:r>
        <w:rPr>
          <w:b/>
          <w:i w:val="0"/>
          <w:smallCaps w:val="0"/>
          <w:strike w:val="0"/>
          <w:sz w:val="22"/>
          <w:u w:val="single"/>
        </w:rPr>
        <w:t xml:space="preserve"> work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catalyze</w:t>
      </w:r>
      <w:r>
        <w:rPr>
          <w:b/>
          <w:i w:val="0"/>
          <w:smallCaps w:val="0"/>
          <w:strike w:val="0"/>
          <w:sz w:val="22"/>
          <w:u w:val="single"/>
        </w:rPr>
        <w:t xml:space="preserve"> the development and adoption of open, interoperable, and standards-based networks </w:t>
      </w:r>
      <w:r>
        <w:rPr>
          <w:b/>
          <w:i w:val="0"/>
          <w:smallCaps w:val="0"/>
          <w:strike w:val="0"/>
          <w:sz w:val="22"/>
          <w:u w:val="single"/>
        </w:rPr>
        <w:t>through the Public Wireless Supply Chain Innovation Fund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Authorized under the FY 2021 National Defense Authorization Act and funded through the CHIPS and Science Act of 2022,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ten-year grant program[to]</w:t>
      </w:r>
      <w:r>
        <w:rPr>
          <w:b/>
          <w:i w:val="0"/>
          <w:smallCaps w:val="0"/>
          <w:strike w:val="0"/>
          <w:sz w:val="22"/>
          <w:u w:val="single"/>
        </w:rPr>
        <w:t xml:space="preserve"> will help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drive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wireless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foster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competition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strengthen supply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chain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resilience</w:t>
      </w:r>
      <w:r>
        <w:rPr>
          <w:b w:val="0"/>
          <w:i w:val="0"/>
          <w:smallCaps w:val="0"/>
          <w:strike w:val="0"/>
          <w:sz w:val="22"/>
          <w:u w:val="none"/>
        </w:rPr>
        <w:t>. It will also help unlock opportunities for companies from the United States and its global allies, particularly small and medium enterprises, to compete in a market historically dominated by a few suppliers, including high-risk suppliers that raise security concerns.</w:t>
      </w:r>
    </w:p>
    <w:p>
      <w:pPr>
        <w:pStyle w:val="Caption"/>
      </w:pPr>
      <w:r>
        <w:t>Source: Antitrust Neg Supplement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