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Injunctions </w:t>
      </w:r>
      <w:r>
        <w:rPr>
          <w:b/>
          <w:i w:val="0"/>
          <w:smallCaps w:val="0"/>
          <w:strike w:val="0"/>
          <w:sz w:val="26"/>
          <w:u w:val="none"/>
        </w:rPr>
        <w:t xml:space="preserve">for SEP patent infringement </w:t>
      </w:r>
      <w:r>
        <w:rPr>
          <w:b/>
          <w:i w:val="0"/>
          <w:smallCaps w:val="0"/>
          <w:strike w:val="0"/>
          <w:sz w:val="26"/>
          <w:u w:val="none"/>
        </w:rPr>
        <w:t>fail – empirics: contracts, negotiations and more!</w:t>
      </w:r>
    </w:p>
    <w:p>
      <w:pPr>
        <w:spacing w:after="80"/>
      </w:pPr>
      <w:r>
        <w:rPr>
          <w:b/>
          <w:i w:val="0"/>
          <w:smallCaps w:val="0"/>
          <w:strike w:val="0"/>
          <w:sz w:val="26"/>
          <w:u w:val="none"/>
        </w:rPr>
        <w:t>Ginsburg et al 14</w:t>
      </w:r>
      <w:r>
        <w:rPr>
          <w:b w:val="0"/>
          <w:i w:val="0"/>
          <w:smallCaps w:val="0"/>
          <w:strike w:val="0"/>
          <w:color w:val="000000"/>
          <w:sz w:val="22"/>
          <w:u w:val="none"/>
        </w:rPr>
        <w:t xml:space="preserve"> Douglas H. Ginsburg is Senior Circuit Judge, U.S. Court of Appeals for the D.C. Circuit, and Professor of Law at George Mason University. Taylor M. Owings is Law Clerk to Judge Ginsburg. Joshua D. Wright is Commissioner, Federal Trade Commission, and Professor of Law at George Mason University</w:t>
      </w:r>
      <w:r>
        <w:rPr>
          <w:b w:val="0"/>
          <w:i w:val="0"/>
          <w:smallCaps w:val="0"/>
          <w:strike w:val="0"/>
          <w:color w:val="000000"/>
          <w:sz w:val="22"/>
          <w:u w:val="none"/>
        </w:rPr>
        <w:t xml:space="preserve"> (“</w:t>
      </w:r>
      <w:r>
        <w:rPr>
          <w:b w:val="0"/>
          <w:i w:val="0"/>
          <w:smallCaps w:val="0"/>
          <w:strike w:val="0"/>
          <w:color w:val="000000"/>
          <w:sz w:val="22"/>
          <w:u w:val="none"/>
        </w:rPr>
        <w:t xml:space="preserve">ENJOINING </w:t>
      </w:r>
      <w:r>
        <w:rPr>
          <w:b w:val="0"/>
          <w:i w:val="0"/>
          <w:smallCaps w:val="0"/>
          <w:strike w:val="0"/>
          <w:color w:val="000000"/>
          <w:sz w:val="22"/>
          <w:u w:val="none"/>
        </w:rPr>
        <w:t>INJUNCTIONS</w:t>
      </w:r>
      <w:r>
        <w:rPr>
          <w:b w:val="0"/>
          <w:i w:val="0"/>
          <w:smallCaps w:val="0"/>
          <w:strike w:val="0"/>
          <w:color w:val="000000"/>
          <w:sz w:val="22"/>
          <w:u w:val="none"/>
        </w:rPr>
        <w:t xml:space="preserve">: THE CASE AGAINST ANTITRUST LIABILITY FOR </w:t>
      </w:r>
      <w:r>
        <w:rPr>
          <w:b w:val="0"/>
          <w:i w:val="0"/>
          <w:smallCaps w:val="0"/>
          <w:strike w:val="0"/>
          <w:color w:val="000000"/>
          <w:sz w:val="22"/>
          <w:u w:val="none"/>
        </w:rPr>
        <w:t>STANDARD ESSENTIAL PATENT</w:t>
      </w:r>
      <w:r>
        <w:rPr>
          <w:b w:val="0"/>
          <w:i w:val="0"/>
          <w:smallCaps w:val="0"/>
          <w:strike w:val="0"/>
          <w:color w:val="000000"/>
          <w:sz w:val="22"/>
          <w:u w:val="none"/>
        </w:rPr>
        <w:t xml:space="preserve"> HOLDERS WHO SEEK </w:t>
      </w:r>
      <w:r>
        <w:rPr>
          <w:b w:val="0"/>
          <w:i w:val="0"/>
          <w:smallCaps w:val="0"/>
          <w:strike w:val="0"/>
          <w:color w:val="000000"/>
          <w:sz w:val="22"/>
          <w:u w:val="none"/>
        </w:rPr>
        <w:t>INJUNCTIONS</w:t>
      </w:r>
      <w:r>
        <w:rPr>
          <w:b w:val="0"/>
          <w:i w:val="0"/>
          <w:smallCaps w:val="0"/>
          <w:strike w:val="0"/>
          <w:color w:val="000000"/>
          <w:sz w:val="22"/>
          <w:u w:val="none"/>
        </w:rPr>
        <w:t xml:space="preserve">” </w:t>
      </w:r>
      <w:r>
        <w:rPr>
          <w:b w:val="0"/>
          <w:i/>
          <w:smallCaps w:val="0"/>
          <w:strike w:val="0"/>
          <w:color w:val="000000"/>
          <w:sz w:val="22"/>
          <w:u w:val="none"/>
        </w:rPr>
        <w:t xml:space="preserve">14-2 Antitrust Magazine Online 1, </w:t>
      </w:r>
      <w:r>
        <w:rPr>
          <w:b w:val="0"/>
          <w:i w:val="0"/>
          <w:smallCaps w:val="0"/>
          <w:strike w:val="0"/>
          <w:color w:val="000000"/>
          <w:sz w:val="22"/>
          <w:u w:val="none"/>
        </w:rPr>
        <w:t xml:space="preserve">October 2014, </w:t>
      </w:r>
      <w:r>
        <w:rPr>
          <w:b w:val="0"/>
          <w:i w:val="0"/>
          <w:smallCaps w:val="0"/>
          <w:strike w:val="0"/>
          <w:color w:val="000000"/>
          <w:sz w:val="22"/>
          <w:u w:val="none"/>
        </w:rPr>
        <w:t>NexisUni</w:t>
      </w:r>
      <w:r>
        <w:rPr>
          <w:b w:val="0"/>
          <w:i w:val="0"/>
          <w:smallCaps w:val="0"/>
          <w:strike w:val="0"/>
          <w:color w:val="000000"/>
          <w:sz w:val="22"/>
          <w:u w:val="none"/>
        </w:rPr>
        <w:t xml:space="preserve"> via University of Michigan Library Systems, DOA: 7/29/24)//LFS—LMH </w:t>
      </w:r>
    </w:p>
    <w:p>
      <w:pPr>
        <w:spacing w:after="60"/>
      </w:pPr>
      <w:r>
        <w:rPr>
          <w:b w:val="0"/>
          <w:i w:val="0"/>
          <w:smallCaps w:val="0"/>
          <w:strike w:val="0"/>
          <w:sz w:val="22"/>
          <w:u w:val="single"/>
        </w:rPr>
        <w:t xml:space="preserve">The end result is that, </w:t>
      </w:r>
      <w:r>
        <w:rPr>
          <w:b w:val="0"/>
          <w:i w:val="0"/>
          <w:smallCaps w:val="0"/>
          <w:strike w:val="0"/>
          <w:sz w:val="22"/>
          <w:highlight w:val="cyan"/>
          <w:u w:val="single"/>
        </w:rPr>
        <w:t>despite all the handwringing over the prospect of SEP</w:t>
      </w:r>
      <w:r>
        <w:rPr>
          <w:b w:val="0"/>
          <w:i w:val="0"/>
          <w:smallCaps w:val="0"/>
          <w:strike w:val="0"/>
          <w:sz w:val="22"/>
          <w:u w:val="single"/>
        </w:rPr>
        <w:t xml:space="preserve"> holders </w:t>
      </w:r>
      <w:r>
        <w:rPr>
          <w:b w:val="0"/>
          <w:i w:val="0"/>
          <w:smallCaps w:val="0"/>
          <w:strike w:val="0"/>
          <w:sz w:val="22"/>
          <w:highlight w:val="cyan"/>
          <w:u w:val="single"/>
        </w:rPr>
        <w:t xml:space="preserve">using </w:t>
      </w:r>
      <w:r>
        <w:rPr>
          <w:b w:val="0"/>
          <w:i w:val="0"/>
          <w:smallCaps w:val="0"/>
          <w:strike w:val="0"/>
          <w:sz w:val="22"/>
          <w:highlight w:val="cyan"/>
          <w:u w:val="single"/>
        </w:rPr>
        <w:t>injunctions</w:t>
      </w:r>
      <w:r>
        <w:rPr>
          <w:b w:val="0"/>
          <w:i w:val="0"/>
          <w:smallCaps w:val="0"/>
          <w:strike w:val="0"/>
          <w:sz w:val="22"/>
          <w:u w:val="single"/>
        </w:rPr>
        <w:t xml:space="preserve"> and exclusion orders </w:t>
      </w:r>
      <w:r>
        <w:rPr>
          <w:b w:val="0"/>
          <w:i w:val="0"/>
          <w:smallCaps w:val="0"/>
          <w:strike w:val="0"/>
          <w:sz w:val="22"/>
          <w:highlight w:val="cyan"/>
          <w:u w:val="single"/>
        </w:rPr>
        <w:t>to suppress competition</w:t>
      </w:r>
      <w:r>
        <w:rPr>
          <w:b w:val="0"/>
          <w:i w:val="0"/>
          <w:smallCaps w:val="0"/>
          <w:strike w:val="0"/>
          <w:sz w:val="22"/>
          <w:u w:val="single"/>
        </w:rPr>
        <w:t xml:space="preserve"> and extract above-FRAND licensing fees,</w:t>
      </w:r>
      <w:r>
        <w:rPr>
          <w:b w:val="0"/>
          <w:i w:val="0"/>
          <w:smallCaps w:val="0"/>
          <w:strike w:val="0"/>
          <w:sz w:val="22"/>
          <w:u w:val="none"/>
        </w:rPr>
        <w:t xml:space="preserve"> </w:t>
      </w:r>
      <w:r>
        <w:rPr>
          <w:b w:val="0"/>
          <w:i w:val="0"/>
          <w:smallCaps w:val="0"/>
          <w:strike w:val="0"/>
          <w:sz w:val="22"/>
          <w:highlight w:val="cyan"/>
          <w:u w:val="single"/>
        </w:rPr>
        <w:t>we have not found</w:t>
      </w:r>
      <w:r>
        <w:rPr>
          <w:b w:val="0"/>
          <w:i w:val="0"/>
          <w:smallCaps w:val="0"/>
          <w:strike w:val="0"/>
          <w:sz w:val="22"/>
          <w:u w:val="single"/>
        </w:rPr>
        <w:t xml:space="preserve"> even </w:t>
      </w:r>
      <w:r>
        <w:rPr>
          <w:b w:val="0"/>
          <w:i w:val="0"/>
          <w:smallCaps w:val="0"/>
          <w:strike w:val="0"/>
          <w:sz w:val="22"/>
          <w:highlight w:val="cyan"/>
          <w:u w:val="single"/>
        </w:rPr>
        <w:t xml:space="preserve">one </w:t>
      </w:r>
      <w:r>
        <w:rPr>
          <w:b w:val="0"/>
          <w:i w:val="0"/>
          <w:smallCaps w:val="0"/>
          <w:strike w:val="0"/>
          <w:sz w:val="22"/>
          <w:highlight w:val="cyan"/>
          <w:u w:val="single"/>
        </w:rPr>
        <w:t>injunction</w:t>
      </w:r>
      <w:r>
        <w:rPr>
          <w:b w:val="0"/>
          <w:i w:val="0"/>
          <w:smallCaps w:val="0"/>
          <w:strike w:val="0"/>
          <w:sz w:val="22"/>
          <w:u w:val="single"/>
        </w:rPr>
        <w:t xml:space="preserve"> or exclusion order </w:t>
      </w:r>
      <w:r>
        <w:rPr>
          <w:b w:val="0"/>
          <w:i w:val="0"/>
          <w:smallCaps w:val="0"/>
          <w:strike w:val="0"/>
          <w:sz w:val="22"/>
          <w:highlight w:val="cyan"/>
          <w:u w:val="single"/>
        </w:rPr>
        <w:t>that</w:t>
      </w:r>
      <w:r>
        <w:rPr>
          <w:b w:val="0"/>
          <w:i w:val="0"/>
          <w:smallCaps w:val="0"/>
          <w:strike w:val="0"/>
          <w:sz w:val="22"/>
          <w:u w:val="single"/>
        </w:rPr>
        <w:t xml:space="preserve"> actually </w:t>
      </w:r>
      <w:r>
        <w:rPr>
          <w:b w:val="0"/>
          <w:i w:val="0"/>
          <w:smallCaps w:val="0"/>
          <w:strike w:val="0"/>
          <w:sz w:val="22"/>
          <w:highlight w:val="cyan"/>
          <w:u w:val="single"/>
        </w:rPr>
        <w:t>kept a product off the shelf because it infringed</w:t>
      </w:r>
      <w:r>
        <w:rPr>
          <w:b w:val="0"/>
          <w:i w:val="0"/>
          <w:smallCaps w:val="0"/>
          <w:strike w:val="0"/>
          <w:sz w:val="22"/>
          <w:u w:val="single"/>
        </w:rPr>
        <w:t xml:space="preserve"> a SEP.</w:t>
      </w:r>
      <w:r>
        <w:rPr>
          <w:b w:val="0"/>
          <w:i w:val="0"/>
          <w:smallCaps w:val="0"/>
          <w:strike w:val="0"/>
          <w:sz w:val="22"/>
          <w:u w:val="none"/>
        </w:rPr>
        <w:t xml:space="preserve"> </w:t>
      </w:r>
      <w:r>
        <w:rPr>
          <w:b w:val="0"/>
          <w:i w:val="0"/>
          <w:smallCaps w:val="0"/>
          <w:strike w:val="0"/>
          <w:sz w:val="22"/>
          <w:u w:val="single"/>
        </w:rPr>
        <w:t xml:space="preserve">Gupta and Snyder's recent study of </w:t>
      </w:r>
      <w:r>
        <w:rPr>
          <w:b w:val="0"/>
          <w:i w:val="0"/>
          <w:smallCaps w:val="0"/>
          <w:strike w:val="0"/>
          <w:sz w:val="22"/>
          <w:highlight w:val="cyan"/>
          <w:u w:val="single"/>
        </w:rPr>
        <w:t>cases</w:t>
      </w:r>
      <w:r>
        <w:rPr>
          <w:b w:val="0"/>
          <w:i w:val="0"/>
          <w:smallCaps w:val="0"/>
          <w:strike w:val="0"/>
          <w:sz w:val="22"/>
          <w:u w:val="single"/>
        </w:rPr>
        <w:t xml:space="preserve"> </w:t>
      </w:r>
      <w:r>
        <w:rPr>
          <w:b w:val="0"/>
          <w:i w:val="0"/>
          <w:smallCaps w:val="0"/>
          <w:strike w:val="0"/>
          <w:sz w:val="22"/>
          <w:highlight w:val="cyan"/>
          <w:u w:val="single"/>
        </w:rPr>
        <w:t>filed</w:t>
      </w:r>
      <w:r>
        <w:rPr>
          <w:b w:val="0"/>
          <w:i w:val="0"/>
          <w:smallCaps w:val="0"/>
          <w:strike w:val="0"/>
          <w:sz w:val="22"/>
          <w:u w:val="single"/>
        </w:rPr>
        <w:t xml:space="preserve"> since 2000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the "smart phone wars</w:t>
      </w:r>
      <w:r>
        <w:rPr>
          <w:b w:val="0"/>
          <w:i w:val="0"/>
          <w:smallCaps w:val="0"/>
          <w:strike w:val="0"/>
          <w:sz w:val="22"/>
          <w:u w:val="single"/>
        </w:rPr>
        <w:t xml:space="preserve">" </w:t>
      </w:r>
      <w:r>
        <w:rPr>
          <w:b w:val="0"/>
          <w:i w:val="0"/>
          <w:smallCaps w:val="0"/>
          <w:strike w:val="0"/>
          <w:sz w:val="22"/>
          <w:highlight w:val="cyan"/>
          <w:u w:val="single"/>
        </w:rPr>
        <w:t xml:space="preserve">found no </w:t>
      </w:r>
      <w:r>
        <w:rPr>
          <w:b w:val="0"/>
          <w:i w:val="0"/>
          <w:smallCaps w:val="0"/>
          <w:strike w:val="0"/>
          <w:sz w:val="22"/>
          <w:highlight w:val="cyan"/>
          <w:u w:val="single"/>
        </w:rPr>
        <w:t>injunction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only </w:t>
      </w:r>
      <w:r>
        <w:rPr>
          <w:b w:val="0"/>
          <w:i w:val="0"/>
          <w:smallCaps w:val="0"/>
          <w:strike w:val="0"/>
          <w:sz w:val="22"/>
          <w:highlight w:val="cyan"/>
          <w:u w:val="single"/>
        </w:rPr>
        <w:t>one exclusion</w:t>
      </w:r>
      <w:r>
        <w:rPr>
          <w:b w:val="0"/>
          <w:i w:val="0"/>
          <w:smallCaps w:val="0"/>
          <w:strike w:val="0"/>
          <w:sz w:val="22"/>
          <w:u w:val="single"/>
        </w:rPr>
        <w:t xml:space="preserve"> order imposed for infringing a patent that was pled as a SEP, </w:t>
      </w:r>
      <w:r>
        <w:rPr>
          <w:b w:val="0"/>
          <w:i w:val="0"/>
          <w:smallCaps w:val="0"/>
          <w:strike w:val="0"/>
          <w:sz w:val="22"/>
          <w:highlight w:val="cyan"/>
          <w:u w:val="single"/>
        </w:rPr>
        <w:t>but even that</w:t>
      </w:r>
      <w:r>
        <w:rPr>
          <w:b w:val="0"/>
          <w:i w:val="0"/>
          <w:smallCaps w:val="0"/>
          <w:strike w:val="0"/>
          <w:sz w:val="22"/>
          <w:u w:val="single"/>
        </w:rPr>
        <w:t xml:space="preserve"> exclusion order </w:t>
      </w:r>
      <w:r>
        <w:rPr>
          <w:b w:val="0"/>
          <w:i w:val="0"/>
          <w:smallCaps w:val="0"/>
          <w:strike w:val="0"/>
          <w:sz w:val="22"/>
          <w:highlight w:val="cyan"/>
          <w:u w:val="single"/>
        </w:rPr>
        <w:t>was vetoed</w:t>
      </w:r>
      <w:r>
        <w:rPr>
          <w:b w:val="0"/>
          <w:i w:val="0"/>
          <w:smallCaps w:val="0"/>
          <w:strike w:val="0"/>
          <w:sz w:val="22"/>
          <w:u w:val="single"/>
        </w:rPr>
        <w:t xml:space="preserve"> by the U.S. Trade Representative as contrary to the public welfare</w:t>
      </w:r>
      <w:r>
        <w:rPr>
          <w:b w:val="0"/>
          <w:i w:val="0"/>
          <w:smallCaps w:val="0"/>
          <w:strike w:val="0"/>
          <w:sz w:val="22"/>
          <w:u w:val="none"/>
        </w:rPr>
        <w:t xml:space="preserve">.  </w:t>
      </w:r>
      <w:r>
        <w:rPr>
          <w:b/>
          <w:i w:val="0"/>
          <w:smallCaps w:val="0"/>
          <w:strike w:val="0"/>
          <w:sz w:val="22"/>
          <w:u w:val="none"/>
        </w:rPr>
        <w:t>n17</w:t>
      </w:r>
      <w:r>
        <w:rPr>
          <w:b w:val="0"/>
          <w:i w:val="0"/>
          <w:smallCaps w:val="0"/>
          <w:strike w:val="0"/>
          <w:sz w:val="22"/>
          <w:u w:val="none"/>
        </w:rPr>
        <w:t xml:space="preserve"> The one example commonly invoked by concerned commentators, </w:t>
      </w:r>
      <w:r>
        <w:rPr>
          <w:b w:val="0"/>
          <w:i/>
          <w:smallCaps w:val="0"/>
          <w:strike w:val="0"/>
          <w:sz w:val="22"/>
          <w:u w:val="single"/>
        </w:rPr>
        <w:t xml:space="preserve">Commonwealth Scientific &amp; Industrial Research </w:t>
      </w:r>
      <w:r>
        <w:rPr>
          <w:b w:val="0"/>
          <w:i/>
          <w:smallCaps w:val="0"/>
          <w:strike w:val="0"/>
          <w:sz w:val="22"/>
          <w:u w:val="single"/>
        </w:rPr>
        <w:t>Organisation</w:t>
      </w:r>
      <w:r>
        <w:rPr>
          <w:b w:val="0"/>
          <w:i/>
          <w:smallCaps w:val="0"/>
          <w:strike w:val="0"/>
          <w:sz w:val="22"/>
          <w:u w:val="single"/>
        </w:rPr>
        <w:t xml:space="preserve"> v. Buffalo Technology Inc</w:t>
      </w:r>
      <w:r>
        <w:rPr>
          <w:b w:val="0"/>
          <w:i w:val="0"/>
          <w:smallCaps w:val="0"/>
          <w:strike w:val="0"/>
          <w:sz w:val="22"/>
          <w:u w:val="single"/>
        </w:rPr>
        <w:t>.</w:t>
      </w:r>
      <w:r>
        <w:rPr>
          <w:b w:val="0"/>
          <w:i w:val="0"/>
          <w:smallCaps w:val="0"/>
          <w:strike w:val="0"/>
          <w:sz w:val="22"/>
          <w:u w:val="single"/>
        </w:rPr>
        <w:t xml:space="preserve">,  </w:t>
      </w:r>
      <w:r>
        <w:rPr>
          <w:b/>
          <w:i w:val="0"/>
          <w:smallCaps w:val="0"/>
          <w:strike w:val="0"/>
          <w:sz w:val="22"/>
          <w:u w:val="single"/>
        </w:rPr>
        <w:t>n</w:t>
      </w:r>
      <w:r>
        <w:rPr>
          <w:b/>
          <w:i w:val="0"/>
          <w:smallCaps w:val="0"/>
          <w:strike w:val="0"/>
          <w:sz w:val="22"/>
          <w:u w:val="single"/>
        </w:rPr>
        <w:t>18</w:t>
      </w:r>
      <w:r>
        <w:rPr>
          <w:b w:val="0"/>
          <w:i w:val="0"/>
          <w:smallCaps w:val="0"/>
          <w:strike w:val="0"/>
          <w:sz w:val="22"/>
          <w:u w:val="single"/>
        </w:rPr>
        <w:t xml:space="preserve"> involved a patent the holder did not plead as a SEP. In any event, the judge granted an </w:t>
      </w:r>
      <w:r>
        <w:rPr>
          <w:b w:val="0"/>
          <w:i w:val="0"/>
          <w:smallCaps w:val="0"/>
          <w:strike w:val="0"/>
          <w:sz w:val="22"/>
          <w:u w:val="single"/>
        </w:rPr>
        <w:t>injunction</w:t>
      </w:r>
      <w:r>
        <w:rPr>
          <w:b w:val="0"/>
          <w:i w:val="0"/>
          <w:smallCaps w:val="0"/>
          <w:strike w:val="0"/>
          <w:sz w:val="22"/>
          <w:u w:val="single"/>
        </w:rPr>
        <w:t xml:space="preserve"> only after expressly considering the competitive conditions in the market and concluding the "public interest would not be disserved by a permanent </w:t>
      </w:r>
      <w:r>
        <w:rPr>
          <w:b w:val="0"/>
          <w:i w:val="0"/>
          <w:smallCaps w:val="0"/>
          <w:strike w:val="0"/>
          <w:sz w:val="22"/>
          <w:u w:val="single"/>
        </w:rPr>
        <w:t>injunction</w:t>
      </w:r>
      <w:r>
        <w:rPr>
          <w:b w:val="0"/>
          <w:i w:val="0"/>
          <w:smallCaps w:val="0"/>
          <w:strike w:val="0"/>
          <w:sz w:val="22"/>
          <w:u w:val="single"/>
        </w:rPr>
        <w:t xml:space="preserve"> because [standardized end] products are obtainable from multiple sources other than [the infringer]."  </w:t>
      </w:r>
      <w:r>
        <w:rPr>
          <w:b/>
          <w:i w:val="0"/>
          <w:smallCaps w:val="0"/>
          <w:strike w:val="0"/>
          <w:sz w:val="22"/>
          <w:u w:val="none"/>
        </w:rPr>
        <w:t>n19</w:t>
      </w:r>
    </w:p>
    <w:p>
      <w:pPr>
        <w:spacing w:after="60"/>
      </w:pP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22"/>
          <w:highlight w:val="cyan"/>
          <w:u w:val="single"/>
        </w:rPr>
        <w:t>SEP holder</w:t>
      </w:r>
      <w:r>
        <w:rPr>
          <w:b w:val="0"/>
          <w:i w:val="0"/>
          <w:smallCaps w:val="0"/>
          <w:strike w:val="0"/>
          <w:sz w:val="22"/>
          <w:u w:val="single"/>
        </w:rPr>
        <w:t xml:space="preserve"> </w:t>
      </w:r>
      <w:r>
        <w:rPr>
          <w:b w:val="0"/>
          <w:i w:val="0"/>
          <w:smallCaps w:val="0"/>
          <w:strike w:val="0"/>
          <w:sz w:val="22"/>
          <w:highlight w:val="cyan"/>
          <w:u w:val="single"/>
        </w:rPr>
        <w:t>cannot eliminate</w:t>
      </w:r>
      <w:r>
        <w:rPr>
          <w:b w:val="0"/>
          <w:i w:val="0"/>
          <w:smallCaps w:val="0"/>
          <w:strike w:val="0"/>
          <w:sz w:val="22"/>
          <w:u w:val="single"/>
        </w:rPr>
        <w:t xml:space="preserve"> (or credibly threaten to eliminate) </w:t>
      </w:r>
      <w:r>
        <w:rPr>
          <w:b w:val="0"/>
          <w:i w:val="0"/>
          <w:smallCaps w:val="0"/>
          <w:strike w:val="0"/>
          <w:sz w:val="22"/>
          <w:highlight w:val="cyan"/>
          <w:u w:val="single"/>
        </w:rPr>
        <w:t>competition b</w:t>
      </w:r>
      <w:r>
        <w:rPr>
          <w:b w:val="0"/>
          <w:i w:val="0"/>
          <w:smallCaps w:val="0"/>
          <w:strike w:val="0"/>
          <w:sz w:val="22"/>
          <w:u w:val="single"/>
        </w:rPr>
        <w:t xml:space="preserve">y getting an </w:t>
      </w:r>
      <w:r>
        <w:rPr>
          <w:b w:val="0"/>
          <w:i w:val="0"/>
          <w:smallCaps w:val="0"/>
          <w:strike w:val="0"/>
          <w:sz w:val="22"/>
          <w:highlight w:val="cyan"/>
          <w:u w:val="single"/>
        </w:rPr>
        <w:t>injunction</w:t>
      </w:r>
      <w:r>
        <w:rPr>
          <w:b w:val="0"/>
          <w:i w:val="0"/>
          <w:smallCaps w:val="0"/>
          <w:strike w:val="0"/>
          <w:sz w:val="22"/>
          <w:u w:val="single"/>
        </w:rPr>
        <w:t xml:space="preserve">, </w:t>
      </w:r>
      <w:r>
        <w:rPr>
          <w:b w:val="0"/>
          <w:i w:val="0"/>
          <w:smallCaps w:val="0"/>
          <w:strike w:val="0"/>
          <w:sz w:val="22"/>
          <w:highlight w:val="cyan"/>
          <w:u w:val="single"/>
        </w:rPr>
        <w:t>then it cannot</w:t>
      </w:r>
      <w:r>
        <w:rPr>
          <w:b w:val="0"/>
          <w:i w:val="0"/>
          <w:smallCaps w:val="0"/>
          <w:strike w:val="0"/>
          <w:sz w:val="22"/>
          <w:u w:val="single"/>
        </w:rPr>
        <w:t xml:space="preserve"> </w:t>
      </w:r>
      <w:r>
        <w:rPr>
          <w:b w:val="0"/>
          <w:i w:val="0"/>
          <w:smallCaps w:val="0"/>
          <w:strike w:val="0"/>
          <w:sz w:val="22"/>
          <w:highlight w:val="cyan"/>
          <w:u w:val="single"/>
        </w:rPr>
        <w:t>distort</w:t>
      </w:r>
      <w:r>
        <w:rPr>
          <w:b w:val="0"/>
          <w:i w:val="0"/>
          <w:smallCaps w:val="0"/>
          <w:strike w:val="0"/>
          <w:sz w:val="22"/>
          <w:u w:val="single"/>
        </w:rPr>
        <w:t xml:space="preserve"> </w:t>
      </w:r>
      <w:r>
        <w:rPr>
          <w:b w:val="0"/>
          <w:i w:val="0"/>
          <w:smallCaps w:val="0"/>
          <w:strike w:val="0"/>
          <w:sz w:val="22"/>
          <w:highlight w:val="cyan"/>
          <w:u w:val="single"/>
        </w:rPr>
        <w:t>licensing</w:t>
      </w:r>
      <w:r>
        <w:rPr>
          <w:b w:val="0"/>
          <w:i w:val="0"/>
          <w:smallCaps w:val="0"/>
          <w:strike w:val="0"/>
          <w:sz w:val="22"/>
          <w:u w:val="single"/>
        </w:rPr>
        <w:t xml:space="preserve"> negotiations, contrary to what some commentators have </w:t>
      </w:r>
      <w:r>
        <w:rPr>
          <w:b w:val="0"/>
          <w:i w:val="0"/>
          <w:smallCaps w:val="0"/>
          <w:strike w:val="0"/>
          <w:sz w:val="22"/>
          <w:u w:val="single"/>
        </w:rPr>
        <w:t>suggested,</w:t>
      </w:r>
      <w:r>
        <w:rPr>
          <w:b w:val="0"/>
          <w:i w:val="0"/>
          <w:smallCaps w:val="0"/>
          <w:strike w:val="0"/>
          <w:sz w:val="22"/>
          <w:u w:val="none"/>
        </w:rPr>
        <w:t xml:space="preserve">  </w:t>
      </w:r>
      <w:r>
        <w:rPr>
          <w:b/>
          <w:i w:val="0"/>
          <w:smallCaps w:val="0"/>
          <w:strike w:val="0"/>
          <w:sz w:val="22"/>
          <w:u w:val="none"/>
        </w:rPr>
        <w:t>n</w:t>
      </w:r>
      <w:r>
        <w:rPr>
          <w:b/>
          <w:i w:val="0"/>
          <w:smallCaps w:val="0"/>
          <w:strike w:val="0"/>
          <w:sz w:val="22"/>
          <w:u w:val="none"/>
        </w:rPr>
        <w:t>20</w:t>
      </w:r>
      <w:r>
        <w:rPr>
          <w:b w:val="0"/>
          <w:i w:val="0"/>
          <w:smallCaps w:val="0"/>
          <w:strike w:val="0"/>
          <w:sz w:val="22"/>
          <w:u w:val="none"/>
        </w:rPr>
        <w:t xml:space="preserve"> and </w:t>
      </w:r>
      <w:r>
        <w:rPr>
          <w:b w:val="0"/>
          <w:i w:val="0"/>
          <w:smallCaps w:val="0"/>
          <w:strike w:val="0"/>
          <w:sz w:val="22"/>
          <w:u w:val="single"/>
        </w:rPr>
        <w:t>contract law should provide SEP users with sufficient means for protecting their interests in a FRAND licensing rate.</w:t>
      </w:r>
      <w:r>
        <w:rPr>
          <w:b w:val="0"/>
          <w:i w:val="0"/>
          <w:smallCaps w:val="0"/>
          <w:strike w:val="0"/>
          <w:sz w:val="22"/>
          <w:u w:val="none"/>
        </w:rPr>
        <w:t xml:space="preserve"> </w:t>
      </w:r>
      <w:r>
        <w:rPr>
          <w:b/>
          <w:i w:val="0"/>
          <w:smallCaps w:val="0"/>
          <w:strike w:val="0"/>
          <w:sz w:val="22"/>
          <w:highlight w:val="cyan"/>
          <w:u w:val="single"/>
        </w:rPr>
        <w:t xml:space="preserve">Antitrust enforcement is therefore an unnecessary response to a SEP holder seeking an </w:t>
      </w:r>
      <w:r>
        <w:rPr>
          <w:b/>
          <w:i w:val="0"/>
          <w:smallCaps w:val="0"/>
          <w:strike w:val="0"/>
          <w:sz w:val="22"/>
          <w:highlight w:val="cyan"/>
          <w:u w:val="single"/>
        </w:rPr>
        <w:t>injunction</w:t>
      </w:r>
      <w:r>
        <w:rPr>
          <w:b/>
          <w:i w:val="0"/>
          <w:smallCaps w:val="0"/>
          <w:strike w:val="0"/>
          <w:sz w:val="22"/>
          <w:highlight w:val="cyan"/>
          <w:u w:val="single"/>
        </w:rPr>
        <w:t>.</w:t>
      </w:r>
    </w:p>
    <w:p>
      <w:pPr>
        <w:spacing w:after="60"/>
      </w:pPr>
      <w:r>
        <w:rPr>
          <w:b w:val="0"/>
          <w:i w:val="0"/>
          <w:smallCaps w:val="0"/>
          <w:strike w:val="0"/>
          <w:sz w:val="22"/>
          <w:u w:val="none"/>
        </w:rPr>
        <w:t xml:space="preserve">Some commentators have argued that </w:t>
      </w:r>
      <w:r>
        <w:rPr>
          <w:b w:val="0"/>
          <w:i w:val="0"/>
          <w:smallCaps w:val="0"/>
          <w:strike w:val="0"/>
          <w:sz w:val="22"/>
          <w:highlight w:val="cyan"/>
          <w:u w:val="single"/>
        </w:rPr>
        <w:t>manufacturers using SEPs will not bother to assert their contract</w:t>
      </w:r>
      <w:r>
        <w:rPr>
          <w:b w:val="0"/>
          <w:i w:val="0"/>
          <w:smallCaps w:val="0"/>
          <w:strike w:val="0"/>
          <w:sz w:val="22"/>
          <w:u w:val="single"/>
        </w:rPr>
        <w:t xml:space="preserve"> rights, figuring they face no competitive disadvantage if the SEP holder extracts an above-FRAND price from every SEP user that manufactures the end </w:t>
      </w:r>
      <w:r>
        <w:rPr>
          <w:b w:val="0"/>
          <w:i w:val="0"/>
          <w:smallCaps w:val="0"/>
          <w:strike w:val="0"/>
          <w:sz w:val="22"/>
          <w:u w:val="single"/>
        </w:rPr>
        <w:t>produc</w:t>
      </w:r>
      <w:r>
        <w:rPr>
          <w:b w:val="0"/>
          <w:i w:val="0"/>
          <w:smallCaps w:val="0"/>
          <w:strike w:val="0"/>
          <w:sz w:val="22"/>
          <w:u w:val="none"/>
        </w:rPr>
        <w:t xml:space="preserve">t,  </w:t>
      </w:r>
      <w:r>
        <w:rPr>
          <w:b/>
          <w:i w:val="0"/>
          <w:smallCaps w:val="0"/>
          <w:strike w:val="0"/>
          <w:sz w:val="22"/>
          <w:u w:val="none"/>
        </w:rPr>
        <w:t>n</w:t>
      </w:r>
      <w:r>
        <w:rPr>
          <w:b/>
          <w:i w:val="0"/>
          <w:smallCaps w:val="0"/>
          <w:strike w:val="0"/>
          <w:sz w:val="22"/>
          <w:u w:val="none"/>
        </w:rPr>
        <w:t>21</w:t>
      </w:r>
      <w:r>
        <w:rPr>
          <w:b w:val="0"/>
          <w:i w:val="0"/>
          <w:smallCaps w:val="0"/>
          <w:strike w:val="0"/>
          <w:sz w:val="22"/>
          <w:u w:val="none"/>
        </w:rPr>
        <w:t xml:space="preserve"> </w:t>
      </w:r>
      <w:r>
        <w:rPr>
          <w:b w:val="0"/>
          <w:i w:val="0"/>
          <w:smallCaps w:val="0"/>
          <w:strike w:val="0"/>
          <w:sz w:val="22"/>
          <w:u w:val="single"/>
        </w:rPr>
        <w:t>which would result in a uniformly higher cost being passed on to the consumer.</w:t>
      </w:r>
      <w:r>
        <w:rPr>
          <w:b w:val="0"/>
          <w:i w:val="0"/>
          <w:smallCaps w:val="0"/>
          <w:strike w:val="0"/>
          <w:sz w:val="22"/>
          <w:u w:val="none"/>
        </w:rPr>
        <w:t xml:space="preserve">  </w:t>
      </w:r>
      <w:r>
        <w:rPr>
          <w:b/>
          <w:i w:val="0"/>
          <w:smallCaps w:val="0"/>
          <w:strike w:val="0"/>
          <w:sz w:val="22"/>
          <w:u w:val="none"/>
        </w:rPr>
        <w:t>n22</w:t>
      </w:r>
      <w:r>
        <w:rPr>
          <w:b w:val="0"/>
          <w:i w:val="0"/>
          <w:smallCaps w:val="0"/>
          <w:strike w:val="0"/>
          <w:sz w:val="22"/>
          <w:u w:val="none"/>
        </w:rPr>
        <w:t xml:space="preserve"> We depart for a moment from our focus upon </w:t>
      </w:r>
      <w:r>
        <w:rPr>
          <w:b w:val="0"/>
          <w:i w:val="0"/>
          <w:smallCaps w:val="0"/>
          <w:strike w:val="0"/>
          <w:sz w:val="22"/>
          <w:u w:val="none"/>
        </w:rPr>
        <w:t>injunctions</w:t>
      </w:r>
      <w:r>
        <w:rPr>
          <w:b w:val="0"/>
          <w:i w:val="0"/>
          <w:smallCaps w:val="0"/>
          <w:strike w:val="0"/>
          <w:sz w:val="22"/>
          <w:u w:val="none"/>
        </w:rPr>
        <w:t xml:space="preserve"> to point out that both theory and evidence make this concern implausible. If a manufacturer can undercut all its rivals' prices by going to court to vindicate its contract right to a FRAND price, then the incentive to do so, i.e., the opportunity to increase its sales and to capture the market even for a time, will be great. </w:t>
      </w:r>
      <w:r>
        <w:rPr>
          <w:b w:val="0"/>
          <w:i w:val="0"/>
          <w:smallCaps w:val="0"/>
          <w:strike w:val="0"/>
          <w:sz w:val="22"/>
          <w:u w:val="single"/>
        </w:rPr>
        <w:t xml:space="preserve">That </w:t>
      </w:r>
      <w:r>
        <w:rPr>
          <w:b w:val="0"/>
          <w:i w:val="0"/>
          <w:smallCaps w:val="0"/>
          <w:strike w:val="0"/>
          <w:sz w:val="22"/>
          <w:highlight w:val="cyan"/>
          <w:u w:val="single"/>
        </w:rPr>
        <w:t xml:space="preserve">SEP users are in fact modifying SSO contracts over time in order better to protect their </w:t>
      </w:r>
      <w:r>
        <w:rPr>
          <w:b w:val="0"/>
          <w:i w:val="0"/>
          <w:smallCaps w:val="0"/>
          <w:strike w:val="0"/>
          <w:sz w:val="22"/>
          <w:highlight w:val="cyan"/>
          <w:u w:val="single"/>
        </w:rPr>
        <w:t>rights</w:t>
      </w:r>
      <w:r>
        <w:rPr>
          <w:b w:val="0"/>
          <w:i w:val="0"/>
          <w:smallCaps w:val="0"/>
          <w:strike w:val="0"/>
          <w:sz w:val="22"/>
          <w:u w:val="single"/>
        </w:rPr>
        <w:t xml:space="preserve">  </w:t>
      </w:r>
      <w:r>
        <w:rPr>
          <w:b/>
          <w:i w:val="0"/>
          <w:smallCaps w:val="0"/>
          <w:strike w:val="0"/>
          <w:sz w:val="22"/>
          <w:u w:val="single"/>
        </w:rPr>
        <w:t>n</w:t>
      </w:r>
      <w:r>
        <w:rPr>
          <w:b/>
          <w:i w:val="0"/>
          <w:smallCaps w:val="0"/>
          <w:strike w:val="0"/>
          <w:sz w:val="22"/>
          <w:u w:val="single"/>
        </w:rPr>
        <w:t>23</w:t>
      </w:r>
      <w:r>
        <w:rPr>
          <w:b w:val="0"/>
          <w:i w:val="0"/>
          <w:smallCaps w:val="0"/>
          <w:strike w:val="0"/>
          <w:sz w:val="22"/>
          <w:u w:val="single"/>
        </w:rPr>
        <w:t xml:space="preserve"> certainly suggests they intend to assert those rights.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