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32"/>
          <w:u w:val="single"/>
        </w:rPr>
        <w:t>No Pharma Antitrust</w:t>
      </w:r>
    </w:p>
    <w:p>
      <w:pPr>
        <w:spacing w:after="80"/>
      </w:pPr>
      <w:r>
        <w:rPr>
          <w:b/>
          <w:i w:val="0"/>
          <w:smallCaps w:val="0"/>
          <w:strike w:val="0"/>
          <w:sz w:val="26"/>
          <w:u w:val="none"/>
        </w:rPr>
        <w:t xml:space="preserve">Stats inflated – the FTC is exclusively attacking “junk” pharma patents that inflate prices and aren’t essential innovations </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Liu 24 </w:t>
      </w:r>
      <w:r>
        <w:rPr>
          <w:b w:val="0"/>
          <w:i w:val="0"/>
          <w:smallCaps w:val="0"/>
          <w:strike w:val="0"/>
          <w:sz w:val="26"/>
          <w:u w:val="none"/>
        </w:rPr>
        <w:t xml:space="preserve">(Angus Liu, deputy editor with Questex’s Life Sciences group, earned his Master’s at Northwestern University’s Medill School of Journalism, worked as a health reporter learning pertinent skills in magazine editing and interactive production, “FTC targets </w:t>
      </w:r>
      <w:r>
        <w:rPr>
          <w:b w:val="0"/>
          <w:i w:val="0"/>
          <w:smallCaps w:val="0"/>
          <w:strike w:val="0"/>
          <w:sz w:val="26"/>
          <w:u w:val="none"/>
        </w:rPr>
        <w:t>Novo's</w:t>
      </w:r>
      <w:r>
        <w:rPr>
          <w:b w:val="0"/>
          <w:i w:val="0"/>
          <w:smallCaps w:val="0"/>
          <w:strike w:val="0"/>
          <w:sz w:val="26"/>
          <w:u w:val="none"/>
        </w:rPr>
        <w:t xml:space="preserve"> Ozempic, others in crackdown on 300-plus 'junk' patent listings in FDA database,” Nexis Uni Database, May 1</w:t>
      </w:r>
      <w:r>
        <w:rPr>
          <w:b w:val="0"/>
          <w:i w:val="0"/>
          <w:smallCaps w:val="0"/>
          <w:strike w:val="0"/>
          <w:sz w:val="26"/>
          <w:u w:val="none"/>
        </w:rPr>
        <w:t>st</w:t>
      </w:r>
      <w:r>
        <w:rPr>
          <w:b w:val="0"/>
          <w:i w:val="0"/>
          <w:smallCaps w:val="0"/>
          <w:strike w:val="0"/>
          <w:sz w:val="26"/>
          <w:u w:val="none"/>
        </w:rPr>
        <w:t>, 2024, Accessed July 29</w:t>
      </w:r>
      <w:r>
        <w:rPr>
          <w:b w:val="0"/>
          <w:i w:val="0"/>
          <w:smallCaps w:val="0"/>
          <w:strike w:val="0"/>
          <w:sz w:val="26"/>
          <w:u w:val="none"/>
        </w:rPr>
        <w:t>th</w:t>
      </w:r>
      <w:r>
        <w:rPr>
          <w:b w:val="0"/>
          <w:i w:val="0"/>
          <w:smallCaps w:val="0"/>
          <w:strike w:val="0"/>
          <w:sz w:val="26"/>
          <w:u w:val="none"/>
        </w:rPr>
        <w:t xml:space="preserve">, 2024) </w:t>
      </w:r>
      <w:r>
        <w:rPr>
          <w:b w:val="0"/>
          <w:i w:val="0"/>
          <w:smallCaps w:val="0"/>
          <w:strike w:val="0"/>
          <w:sz w:val="26"/>
          <w:u w:val="none"/>
        </w:rPr>
        <w:t>cpsw-sns</w:t>
      </w:r>
    </w:p>
    <w:p>
      <w:pPr>
        <w:spacing w:after="60"/>
      </w:pPr>
      <w:r>
        <w:rPr>
          <w:b w:val="0"/>
          <w:i w:val="0"/>
          <w:smallCaps w:val="0"/>
          <w:strike w:val="0"/>
          <w:sz w:val="12"/>
          <w:u w:val="none"/>
        </w:rPr>
        <w:t xml:space="preserve">The U.S. Federal Trade Commission (FTC) is not done with its crackdown on what it views as improper listing of patents with the FDA. </w:t>
      </w:r>
      <w:r>
        <w:rPr>
          <w:b w:val="0"/>
          <w:i w:val="0"/>
          <w:smallCaps w:val="0"/>
          <w:strike w:val="0"/>
          <w:sz w:val="22"/>
          <w:u w:val="single"/>
        </w:rPr>
        <w:t>After an initial round of challenges</w:t>
      </w:r>
      <w:r>
        <w:rPr>
          <w:b w:val="0"/>
          <w:i w:val="0"/>
          <w:smallCaps w:val="0"/>
          <w:strike w:val="0"/>
          <w:sz w:val="12"/>
          <w:u w:val="none"/>
        </w:rPr>
        <w:t xml:space="preserve"> launched in November against more than 100 patents by nine drugmakers, the FTC is back targeting another 300-plus patent listings by eight pharma firms in the FDA's Orange Book. The </w:t>
      </w:r>
      <w:r>
        <w:rPr>
          <w:b w:val="0"/>
          <w:i w:val="0"/>
          <w:smallCaps w:val="0"/>
          <w:strike w:val="0"/>
          <w:sz w:val="22"/>
          <w:highlight w:val="cyan"/>
          <w:u w:val="single"/>
        </w:rPr>
        <w:t>FTC argues</w:t>
      </w:r>
      <w:r>
        <w:rPr>
          <w:b w:val="0"/>
          <w:i w:val="0"/>
          <w:smallCaps w:val="0"/>
          <w:strike w:val="0"/>
          <w:sz w:val="22"/>
          <w:u w:val="single"/>
        </w:rPr>
        <w:t xml:space="preserve"> those </w:t>
      </w:r>
      <w:r>
        <w:rPr>
          <w:b w:val="0"/>
          <w:i w:val="0"/>
          <w:smallCaps w:val="0"/>
          <w:strike w:val="0"/>
          <w:sz w:val="22"/>
          <w:highlight w:val="cyan"/>
          <w:u w:val="single"/>
        </w:rPr>
        <w:t>patents</w:t>
      </w:r>
      <w:r>
        <w:rPr>
          <w:b w:val="0"/>
          <w:i w:val="0"/>
          <w:smallCaps w:val="0"/>
          <w:strike w:val="0"/>
          <w:sz w:val="22"/>
          <w:u w:val="single"/>
        </w:rPr>
        <w:t xml:space="preserve"> for altogether 20 brand-name products </w:t>
      </w:r>
      <w:r>
        <w:rPr>
          <w:b w:val="0"/>
          <w:i w:val="0"/>
          <w:smallCaps w:val="0"/>
          <w:strike w:val="0"/>
          <w:sz w:val="22"/>
          <w:highlight w:val="cyan"/>
          <w:u w:val="single"/>
        </w:rPr>
        <w:t>are “junk” listings that</w:t>
      </w:r>
      <w:r>
        <w:rPr>
          <w:b w:val="0"/>
          <w:i w:val="0"/>
          <w:smallCaps w:val="0"/>
          <w:strike w:val="0"/>
          <w:sz w:val="22"/>
          <w:u w:val="single"/>
        </w:rPr>
        <w:t xml:space="preserve"> </w:t>
      </w:r>
      <w:r>
        <w:rPr>
          <w:b w:val="0"/>
          <w:i w:val="0"/>
          <w:smallCaps w:val="0"/>
          <w:strike w:val="0"/>
          <w:sz w:val="22"/>
          <w:highlight w:val="cyan"/>
          <w:u w:val="single"/>
        </w:rPr>
        <w:t>could be used</w:t>
      </w:r>
      <w:r>
        <w:rPr>
          <w:b w:val="0"/>
          <w:i w:val="0"/>
          <w:smallCaps w:val="0"/>
          <w:strike w:val="0"/>
          <w:sz w:val="22"/>
          <w:u w:val="single"/>
        </w:rPr>
        <w:t xml:space="preserve"> by pharma companies </w:t>
      </w:r>
      <w:r>
        <w:rPr>
          <w:b w:val="0"/>
          <w:i w:val="0"/>
          <w:smallCaps w:val="0"/>
          <w:strike w:val="0"/>
          <w:sz w:val="22"/>
          <w:highlight w:val="cyan"/>
          <w:u w:val="single"/>
        </w:rPr>
        <w:t>to</w:t>
      </w:r>
      <w:r>
        <w:rPr>
          <w:b w:val="0"/>
          <w:i w:val="0"/>
          <w:smallCaps w:val="0"/>
          <w:strike w:val="0"/>
          <w:sz w:val="22"/>
          <w:u w:val="single"/>
        </w:rPr>
        <w:t xml:space="preserve"> stymie competition and </w:t>
      </w:r>
      <w:r>
        <w:rPr>
          <w:b w:val="0"/>
          <w:i w:val="0"/>
          <w:smallCaps w:val="0"/>
          <w:strike w:val="0"/>
          <w:sz w:val="22"/>
          <w:highlight w:val="cyan"/>
          <w:u w:val="single"/>
        </w:rPr>
        <w:t>inflate</w:t>
      </w:r>
      <w:r>
        <w:rPr>
          <w:b w:val="0"/>
          <w:i w:val="0"/>
          <w:smallCaps w:val="0"/>
          <w:strike w:val="0"/>
          <w:sz w:val="22"/>
          <w:u w:val="single"/>
        </w:rPr>
        <w:t xml:space="preserve"> drug </w:t>
      </w:r>
      <w:r>
        <w:rPr>
          <w:b w:val="0"/>
          <w:i w:val="0"/>
          <w:smallCaps w:val="0"/>
          <w:strike w:val="0"/>
          <w:sz w:val="22"/>
          <w:highlight w:val="cyan"/>
          <w:u w:val="single"/>
        </w:rPr>
        <w:t>prices.</w:t>
      </w:r>
      <w:r>
        <w:rPr>
          <w:b w:val="0"/>
          <w:i w:val="0"/>
          <w:smallCaps w:val="0"/>
          <w:strike w:val="0"/>
          <w:sz w:val="22"/>
          <w:u w:val="single"/>
        </w:rPr>
        <w:t xml:space="preserve"> </w:t>
      </w:r>
      <w:r>
        <w:rPr>
          <w:b w:val="0"/>
          <w:i w:val="0"/>
          <w:smallCaps w:val="0"/>
          <w:strike w:val="0"/>
          <w:sz w:val="12"/>
          <w:u w:val="none"/>
        </w:rPr>
        <w:t xml:space="preserve">AstraZeneca, Boehringer Ingelheim, GSK and Teva once again found themselves in the crosshairs of the U.S. antitrust watchdog. But the </w:t>
      </w:r>
      <w:r>
        <w:rPr>
          <w:b w:val="0"/>
          <w:i w:val="0"/>
          <w:smallCaps w:val="0"/>
          <w:strike w:val="0"/>
          <w:sz w:val="22"/>
          <w:highlight w:val="cyan"/>
          <w:u w:val="single"/>
        </w:rPr>
        <w:t>most high-profile product</w:t>
      </w:r>
      <w:r>
        <w:rPr>
          <w:b w:val="0"/>
          <w:i w:val="0"/>
          <w:smallCaps w:val="0"/>
          <w:strike w:val="0"/>
          <w:sz w:val="22"/>
          <w:u w:val="single"/>
        </w:rPr>
        <w:t>s</w:t>
      </w:r>
      <w:r>
        <w:rPr>
          <w:b w:val="0"/>
          <w:i w:val="0"/>
          <w:smallCaps w:val="0"/>
          <w:strike w:val="0"/>
          <w:sz w:val="12"/>
          <w:u w:val="none"/>
        </w:rPr>
        <w:t xml:space="preserve"> involved in this wave of disputes, as spelled out by the FTC, </w:t>
      </w:r>
      <w:r>
        <w:rPr>
          <w:b w:val="0"/>
          <w:i w:val="0"/>
          <w:smallCaps w:val="0"/>
          <w:strike w:val="0"/>
          <w:sz w:val="22"/>
          <w:highlight w:val="cyan"/>
          <w:u w:val="single"/>
        </w:rPr>
        <w:t>are</w:t>
      </w:r>
      <w:r>
        <w:rPr>
          <w:b w:val="0"/>
          <w:i w:val="0"/>
          <w:smallCaps w:val="0"/>
          <w:strike w:val="0"/>
          <w:sz w:val="22"/>
          <w:u w:val="single"/>
        </w:rPr>
        <w:t xml:space="preserve"> perhaps Novo Nordisk's GLP-1 drugs </w:t>
      </w:r>
      <w:r>
        <w:rPr>
          <w:b w:val="0"/>
          <w:i w:val="0"/>
          <w:smallCaps w:val="0"/>
          <w:strike w:val="0"/>
          <w:sz w:val="22"/>
          <w:highlight w:val="cyan"/>
          <w:u w:val="single"/>
        </w:rPr>
        <w:t>Ozempic</w:t>
      </w:r>
      <w:r>
        <w:rPr>
          <w:b w:val="0"/>
          <w:i w:val="0"/>
          <w:smallCaps w:val="0"/>
          <w:strike w:val="0"/>
          <w:sz w:val="22"/>
          <w:u w:val="single"/>
        </w:rPr>
        <w:t xml:space="preserve">, </w:t>
      </w:r>
      <w:r>
        <w:rPr>
          <w:b w:val="0"/>
          <w:i w:val="0"/>
          <w:smallCaps w:val="0"/>
          <w:strike w:val="0"/>
          <w:sz w:val="22"/>
          <w:u w:val="single"/>
        </w:rPr>
        <w:t>Saxenda</w:t>
      </w:r>
      <w:r>
        <w:rPr>
          <w:b w:val="0"/>
          <w:i w:val="0"/>
          <w:smallCaps w:val="0"/>
          <w:strike w:val="0"/>
          <w:sz w:val="22"/>
          <w:u w:val="single"/>
        </w:rPr>
        <w:t xml:space="preserve"> and Victoza. </w:t>
      </w:r>
      <w:r>
        <w:rPr>
          <w:b w:val="0"/>
          <w:i w:val="0"/>
          <w:smallCaps w:val="0"/>
          <w:strike w:val="0"/>
          <w:sz w:val="12"/>
          <w:u w:val="none"/>
        </w:rPr>
        <w:t xml:space="preserve">In response to a Fierce Pharma request for comment, Novo said it's reviewing the warning letter received from the FTC. The antitrust agency in a Tuesday release </w:t>
      </w:r>
      <w:r>
        <w:rPr>
          <w:b w:val="0"/>
          <w:i w:val="0"/>
          <w:smallCaps w:val="0"/>
          <w:strike w:val="0"/>
          <w:sz w:val="22"/>
          <w:u w:val="single"/>
        </w:rPr>
        <w:t>mistakenly identified Ozempic as a weight loss drug when it's only approved by the FDA to control Type 2 diabetes</w:t>
      </w:r>
      <w:r>
        <w:rPr>
          <w:b w:val="0"/>
          <w:i w:val="0"/>
          <w:smallCaps w:val="0"/>
          <w:strike w:val="0"/>
          <w:sz w:val="12"/>
          <w:u w:val="none"/>
        </w:rPr>
        <w:t xml:space="preserve">. </w:t>
      </w:r>
      <w:r>
        <w:rPr>
          <w:b w:val="0"/>
          <w:i w:val="0"/>
          <w:smallCaps w:val="0"/>
          <w:strike w:val="0"/>
          <w:sz w:val="12"/>
          <w:u w:val="none"/>
        </w:rPr>
        <w:t>Novo's</w:t>
      </w:r>
      <w:r>
        <w:rPr>
          <w:b w:val="0"/>
          <w:i w:val="0"/>
          <w:smallCaps w:val="0"/>
          <w:strike w:val="0"/>
          <w:sz w:val="12"/>
          <w:u w:val="none"/>
        </w:rPr>
        <w:t xml:space="preserve"> </w:t>
      </w:r>
      <w:r>
        <w:rPr>
          <w:b w:val="0"/>
          <w:i w:val="0"/>
          <w:smallCaps w:val="0"/>
          <w:strike w:val="0"/>
          <w:sz w:val="12"/>
          <w:u w:val="none"/>
        </w:rPr>
        <w:t>Wegovy</w:t>
      </w:r>
      <w:r>
        <w:rPr>
          <w:b w:val="0"/>
          <w:i w:val="0"/>
          <w:smallCaps w:val="0"/>
          <w:strike w:val="0"/>
          <w:sz w:val="12"/>
          <w:u w:val="none"/>
        </w:rPr>
        <w:t xml:space="preserve">, which contains the same GLP-1 receptor agonist </w:t>
      </w:r>
      <w:r>
        <w:rPr>
          <w:b w:val="0"/>
          <w:i w:val="0"/>
          <w:smallCaps w:val="0"/>
          <w:strike w:val="0"/>
          <w:sz w:val="12"/>
          <w:u w:val="none"/>
        </w:rPr>
        <w:t>semaglutide</w:t>
      </w:r>
      <w:r>
        <w:rPr>
          <w:b w:val="0"/>
          <w:i w:val="0"/>
          <w:smallCaps w:val="0"/>
          <w:strike w:val="0"/>
          <w:sz w:val="12"/>
          <w:u w:val="none"/>
        </w:rPr>
        <w:t xml:space="preserve"> as Ozempic, is approved for obesity. The two brands, while both coming in an injectable pen administered weekly, are available in different maintenance dose strengths. &amp;</w:t>
      </w:r>
      <w:r>
        <w:rPr>
          <w:b w:val="0"/>
          <w:i w:val="0"/>
          <w:smallCaps w:val="0"/>
          <w:strike w:val="0"/>
          <w:sz w:val="12"/>
          <w:u w:val="none"/>
        </w:rPr>
        <w:t>nbsp</w:t>
      </w:r>
      <w:r>
        <w:rPr>
          <w:b w:val="0"/>
          <w:i w:val="0"/>
          <w:smallCaps w:val="0"/>
          <w:strike w:val="0"/>
          <w:sz w:val="12"/>
          <w:u w:val="none"/>
        </w:rPr>
        <w:t xml:space="preserve">; The FDA Orange Book records branded drug patents that serve as reference for generic drug developers. The </w:t>
      </w:r>
      <w:r>
        <w:rPr>
          <w:b w:val="0"/>
          <w:i w:val="0"/>
          <w:smallCaps w:val="0"/>
          <w:strike w:val="0"/>
          <w:sz w:val="22"/>
          <w:u w:val="single"/>
        </w:rPr>
        <w:t xml:space="preserve">FTC argued that </w:t>
      </w:r>
      <w:r>
        <w:rPr>
          <w:b w:val="0"/>
          <w:i w:val="0"/>
          <w:smallCaps w:val="0"/>
          <w:strike w:val="0"/>
          <w:sz w:val="22"/>
          <w:highlight w:val="cyan"/>
          <w:u w:val="single"/>
        </w:rPr>
        <w:t>by</w:t>
      </w:r>
      <w:r>
        <w:rPr>
          <w:b w:val="0"/>
          <w:i w:val="0"/>
          <w:smallCaps w:val="0"/>
          <w:strike w:val="0"/>
          <w:sz w:val="22"/>
          <w:u w:val="single"/>
        </w:rPr>
        <w:t xml:space="preserve"> </w:t>
      </w:r>
      <w:r>
        <w:rPr>
          <w:b w:val="0"/>
          <w:i w:val="0"/>
          <w:smallCaps w:val="0"/>
          <w:strike w:val="0"/>
          <w:sz w:val="22"/>
          <w:highlight w:val="cyan"/>
          <w:u w:val="single"/>
        </w:rPr>
        <w:t>putting up sham patents, biopharma</w:t>
      </w:r>
      <w:r>
        <w:rPr>
          <w:b w:val="0"/>
          <w:i w:val="0"/>
          <w:smallCaps w:val="0"/>
          <w:strike w:val="0"/>
          <w:sz w:val="22"/>
          <w:u w:val="single"/>
        </w:rPr>
        <w:t xml:space="preserve"> companies </w:t>
      </w:r>
      <w:r>
        <w:rPr>
          <w:b w:val="0"/>
          <w:i w:val="0"/>
          <w:smallCaps w:val="0"/>
          <w:strike w:val="0"/>
          <w:sz w:val="22"/>
          <w:highlight w:val="cyan"/>
          <w:u w:val="single"/>
        </w:rPr>
        <w:t>have exploited a policy that blocks the FDA from approving a generic drug</w:t>
      </w:r>
      <w:r>
        <w:rPr>
          <w:b w:val="0"/>
          <w:i w:val="0"/>
          <w:smallCaps w:val="0"/>
          <w:strike w:val="0"/>
          <w:sz w:val="22"/>
          <w:u w:val="single"/>
        </w:rPr>
        <w:t xml:space="preserve"> for 30 months </w:t>
      </w:r>
      <w:r>
        <w:rPr>
          <w:b w:val="0"/>
          <w:i w:val="0"/>
          <w:smallCaps w:val="0"/>
          <w:strike w:val="0"/>
          <w:sz w:val="22"/>
          <w:highlight w:val="cyan"/>
          <w:u w:val="single"/>
        </w:rPr>
        <w:t>if an originator timely files an infringement lawsuit</w:t>
      </w:r>
      <w:r>
        <w:rPr>
          <w:b w:val="0"/>
          <w:i w:val="0"/>
          <w:smallCaps w:val="0"/>
          <w:strike w:val="0"/>
          <w:sz w:val="22"/>
          <w:u w:val="single"/>
        </w:rPr>
        <w:t xml:space="preserve"> against a generic over a patent listed in the Orange Book. </w:t>
      </w:r>
      <w:r>
        <w:rPr>
          <w:b w:val="0"/>
          <w:i w:val="0"/>
          <w:smallCaps w:val="0"/>
          <w:strike w:val="0"/>
          <w:sz w:val="12"/>
          <w:u w:val="none"/>
        </w:rPr>
        <w:t xml:space="preserve">The </w:t>
      </w:r>
      <w:r>
        <w:rPr>
          <w:b w:val="0"/>
          <w:i w:val="0"/>
          <w:smallCaps w:val="0"/>
          <w:strike w:val="0"/>
          <w:sz w:val="22"/>
          <w:highlight w:val="cyan"/>
          <w:u w:val="single"/>
        </w:rPr>
        <w:t>FTC f</w:t>
      </w:r>
      <w:r>
        <w:rPr>
          <w:b w:val="0"/>
          <w:i w:val="0"/>
          <w:smallCaps w:val="0"/>
          <w:strike w:val="0"/>
          <w:sz w:val="22"/>
          <w:u w:val="single"/>
        </w:rPr>
        <w:t xml:space="preserve">irst warned in September that it </w:t>
      </w:r>
      <w:r>
        <w:rPr>
          <w:b w:val="0"/>
          <w:i w:val="0"/>
          <w:smallCaps w:val="0"/>
          <w:strike w:val="0"/>
          <w:sz w:val="22"/>
          <w:highlight w:val="cyan"/>
          <w:u w:val="single"/>
        </w:rPr>
        <w:t>would</w:t>
      </w:r>
      <w:r>
        <w:rPr>
          <w:b w:val="0"/>
          <w:i w:val="0"/>
          <w:smallCaps w:val="0"/>
          <w:strike w:val="0"/>
          <w:sz w:val="22"/>
          <w:u w:val="single"/>
        </w:rPr>
        <w:t xml:space="preserve"> </w:t>
      </w:r>
      <w:r>
        <w:rPr>
          <w:b w:val="0"/>
          <w:i w:val="0"/>
          <w:smallCaps w:val="0"/>
          <w:strike w:val="0"/>
          <w:sz w:val="22"/>
          <w:highlight w:val="cyan"/>
          <w:u w:val="single"/>
        </w:rPr>
        <w:t>scrutinize improperly listed</w:t>
      </w:r>
      <w:r>
        <w:rPr>
          <w:b w:val="0"/>
          <w:i w:val="0"/>
          <w:smallCaps w:val="0"/>
          <w:strike w:val="0"/>
          <w:sz w:val="22"/>
          <w:u w:val="single"/>
        </w:rPr>
        <w:t xml:space="preserve"> drug </w:t>
      </w:r>
      <w:r>
        <w:rPr>
          <w:b w:val="0"/>
          <w:i w:val="0"/>
          <w:smallCaps w:val="0"/>
          <w:strike w:val="0"/>
          <w:sz w:val="22"/>
          <w:highlight w:val="cyan"/>
          <w:u w:val="single"/>
        </w:rPr>
        <w:t>patents</w:t>
      </w:r>
      <w:r>
        <w:rPr>
          <w:b w:val="0"/>
          <w:i w:val="0"/>
          <w:smallCaps w:val="0"/>
          <w:strike w:val="0"/>
          <w:sz w:val="22"/>
          <w:u w:val="single"/>
        </w:rPr>
        <w:t xml:space="preserve"> in the FDA databas</w:t>
      </w:r>
      <w:r>
        <w:rPr>
          <w:b w:val="0"/>
          <w:i w:val="0"/>
          <w:smallCaps w:val="0"/>
          <w:strike w:val="0"/>
          <w:sz w:val="12"/>
          <w:u w:val="none"/>
        </w:rPr>
        <w:t xml:space="preserve">e. Then, in November, </w:t>
      </w:r>
      <w:r>
        <w:rPr>
          <w:b w:val="0"/>
          <w:i w:val="0"/>
          <w:smallCaps w:val="0"/>
          <w:strike w:val="0"/>
          <w:sz w:val="12"/>
          <w:highlight w:val="cyan"/>
          <w:u w:val="none"/>
        </w:rPr>
        <w:t xml:space="preserve">it </w:t>
      </w:r>
      <w:r>
        <w:rPr>
          <w:b w:val="0"/>
          <w:i w:val="0"/>
          <w:smallCaps w:val="0"/>
          <w:strike w:val="0"/>
          <w:sz w:val="22"/>
          <w:highlight w:val="cyan"/>
          <w:u w:val="single"/>
        </w:rPr>
        <w:t>challenged</w:t>
      </w:r>
      <w:r>
        <w:rPr>
          <w:b w:val="0"/>
          <w:i w:val="0"/>
          <w:smallCaps w:val="0"/>
          <w:strike w:val="0"/>
          <w:sz w:val="12"/>
          <w:u w:val="none"/>
        </w:rPr>
        <w:t xml:space="preserve"> more than 100 </w:t>
      </w:r>
      <w:r>
        <w:rPr>
          <w:b w:val="0"/>
          <w:i w:val="0"/>
          <w:smallCaps w:val="0"/>
          <w:strike w:val="0"/>
          <w:sz w:val="22"/>
          <w:u w:val="single"/>
        </w:rPr>
        <w:t xml:space="preserve">patents for </w:t>
      </w:r>
      <w:r>
        <w:rPr>
          <w:b w:val="0"/>
          <w:i w:val="0"/>
          <w:smallCaps w:val="0"/>
          <w:strike w:val="0"/>
          <w:sz w:val="22"/>
          <w:highlight w:val="cyan"/>
          <w:u w:val="single"/>
        </w:rPr>
        <w:t>several</w:t>
      </w:r>
      <w:r>
        <w:rPr>
          <w:b w:val="0"/>
          <w:i w:val="0"/>
          <w:smallCaps w:val="0"/>
          <w:strike w:val="0"/>
          <w:sz w:val="22"/>
          <w:u w:val="single"/>
        </w:rPr>
        <w:t xml:space="preserve"> drug </w:t>
      </w:r>
      <w:r>
        <w:rPr>
          <w:b w:val="0"/>
          <w:i w:val="0"/>
          <w:smallCaps w:val="0"/>
          <w:strike w:val="0"/>
          <w:sz w:val="22"/>
          <w:highlight w:val="cyan"/>
          <w:u w:val="single"/>
        </w:rPr>
        <w:t>products</w:t>
      </w:r>
      <w:r>
        <w:rPr>
          <w:b w:val="0"/>
          <w:i w:val="0"/>
          <w:smallCaps w:val="0"/>
          <w:strike w:val="0"/>
          <w:sz w:val="22"/>
          <w:u w:val="single"/>
        </w:rPr>
        <w:t xml:space="preserve"> that </w:t>
      </w:r>
      <w:r>
        <w:rPr>
          <w:b w:val="0"/>
          <w:i w:val="0"/>
          <w:smallCaps w:val="0"/>
          <w:strike w:val="0"/>
          <w:sz w:val="22"/>
          <w:u w:val="single"/>
        </w:rPr>
        <w:t>deploys</w:t>
      </w:r>
      <w:r>
        <w:rPr>
          <w:b w:val="0"/>
          <w:i w:val="0"/>
          <w:smallCaps w:val="0"/>
          <w:strike w:val="0"/>
          <w:sz w:val="22"/>
          <w:u w:val="single"/>
        </w:rPr>
        <w:t xml:space="preserve"> </w:t>
      </w:r>
      <w:r>
        <w:rPr>
          <w:b w:val="0"/>
          <w:i w:val="0"/>
          <w:smallCaps w:val="0"/>
          <w:strike w:val="0"/>
          <w:sz w:val="22"/>
          <w:highlight w:val="cyan"/>
          <w:u w:val="single"/>
        </w:rPr>
        <w:t>special delivery devices</w:t>
      </w:r>
      <w:r>
        <w:rPr>
          <w:b w:val="0"/>
          <w:i w:val="0"/>
          <w:smallCaps w:val="0"/>
          <w:strike w:val="0"/>
          <w:sz w:val="22"/>
          <w:u w:val="single"/>
        </w:rPr>
        <w:t xml:space="preserve">, such as an inhaler or an injector. </w:t>
      </w:r>
      <w:r>
        <w:rPr>
          <w:b w:val="0"/>
          <w:i w:val="0"/>
          <w:smallCaps w:val="0"/>
          <w:strike w:val="0"/>
          <w:sz w:val="12"/>
          <w:u w:val="none"/>
        </w:rPr>
        <w:t xml:space="preserve">In response, GSK, </w:t>
      </w:r>
      <w:r>
        <w:rPr>
          <w:b w:val="0"/>
          <w:i w:val="0"/>
          <w:smallCaps w:val="0"/>
          <w:strike w:val="0"/>
          <w:sz w:val="12"/>
          <w:u w:val="none"/>
        </w:rPr>
        <w:t>Amneal's</w:t>
      </w:r>
      <w:r>
        <w:rPr>
          <w:b w:val="0"/>
          <w:i w:val="0"/>
          <w:smallCaps w:val="0"/>
          <w:strike w:val="0"/>
          <w:sz w:val="12"/>
          <w:u w:val="none"/>
        </w:rPr>
        <w:t xml:space="preserve"> Impax Laboratories and Kaleo have delisted some patents. GSK also voluntarily removed certain patents that were not challenged by the FTC. Earlier this year, Boehringer Ingelheim, AZ and GSK all committed to capping their inhalers' monthly out-of-pocket costs at $35. This time around, the FTC is once again eyeing some drug-device combos. Besides the Novo drugs, AstraZeneca's </w:t>
      </w:r>
      <w:r>
        <w:rPr>
          <w:b w:val="0"/>
          <w:i w:val="0"/>
          <w:smallCaps w:val="0"/>
          <w:strike w:val="0"/>
          <w:sz w:val="12"/>
          <w:u w:val="none"/>
        </w:rPr>
        <w:t>Bydureon</w:t>
      </w:r>
      <w:r>
        <w:rPr>
          <w:b w:val="0"/>
          <w:i w:val="0"/>
          <w:smallCaps w:val="0"/>
          <w:strike w:val="0"/>
          <w:sz w:val="12"/>
          <w:u w:val="none"/>
        </w:rPr>
        <w:t xml:space="preserve"> pen for diabetes is also part of the FTC's challenge. Four GSK inhalers using the Ellipta device, such as the chronic obstructive pulmonary disease and asthma therapies </w:t>
      </w:r>
      <w:r>
        <w:rPr>
          <w:b w:val="0"/>
          <w:i w:val="0"/>
          <w:smallCaps w:val="0"/>
          <w:strike w:val="0"/>
          <w:sz w:val="12"/>
          <w:u w:val="none"/>
        </w:rPr>
        <w:t>Breo</w:t>
      </w:r>
      <w:r>
        <w:rPr>
          <w:b w:val="0"/>
          <w:i w:val="0"/>
          <w:smallCaps w:val="0"/>
          <w:strike w:val="0"/>
          <w:sz w:val="12"/>
          <w:u w:val="none"/>
        </w:rPr>
        <w:t xml:space="preserve"> and </w:t>
      </w:r>
      <w:r>
        <w:rPr>
          <w:b w:val="0"/>
          <w:i w:val="0"/>
          <w:smallCaps w:val="0"/>
          <w:strike w:val="0"/>
          <w:sz w:val="12"/>
          <w:u w:val="none"/>
        </w:rPr>
        <w:t>Trelegy</w:t>
      </w:r>
      <w:r>
        <w:rPr>
          <w:b w:val="0"/>
          <w:i w:val="0"/>
          <w:smallCaps w:val="0"/>
          <w:strike w:val="0"/>
          <w:sz w:val="12"/>
          <w:u w:val="none"/>
        </w:rPr>
        <w:t xml:space="preserve">, were included. A GSK spokesperson confirmed receipt of the new warning letter and said the company will do its own analysis as the law requires. Previously, GSK retracted four of five patents flagged by the FTC from the Orange Book back in November. “Once complete, we will respond to the FDA </w:t>
      </w:r>
      <w:r>
        <w:rPr>
          <w:b w:val="0"/>
          <w:i w:val="0"/>
          <w:smallCaps w:val="0"/>
          <w:strike w:val="0"/>
          <w:sz w:val="12"/>
          <w:u w:val="none"/>
        </w:rPr>
        <w:t>and&amp;</w:t>
      </w:r>
      <w:r>
        <w:rPr>
          <w:b w:val="0"/>
          <w:i w:val="0"/>
          <w:smallCaps w:val="0"/>
          <w:strike w:val="0"/>
          <w:sz w:val="12"/>
          <w:u w:val="none"/>
        </w:rPr>
        <w:t>nbsp;FTC</w:t>
      </w:r>
      <w:r>
        <w:rPr>
          <w:b w:val="0"/>
          <w:i w:val="0"/>
          <w:smallCaps w:val="0"/>
          <w:strike w:val="0"/>
          <w:sz w:val="12"/>
          <w:u w:val="none"/>
        </w:rPr>
        <w:t xml:space="preserve"> in accordance with the FDA's process,” the GSK spokesperson said of the latest review. For Novartis, its COPD drugs </w:t>
      </w:r>
      <w:r>
        <w:rPr>
          <w:b w:val="0"/>
          <w:i w:val="0"/>
          <w:smallCaps w:val="0"/>
          <w:strike w:val="0"/>
          <w:sz w:val="12"/>
          <w:u w:val="none"/>
        </w:rPr>
        <w:t>Seebri</w:t>
      </w:r>
      <w:r>
        <w:rPr>
          <w:b w:val="0"/>
          <w:i w:val="0"/>
          <w:smallCaps w:val="0"/>
          <w:strike w:val="0"/>
          <w:sz w:val="12"/>
          <w:u w:val="none"/>
        </w:rPr>
        <w:t xml:space="preserve"> and </w:t>
      </w:r>
      <w:r>
        <w:rPr>
          <w:b w:val="0"/>
          <w:i w:val="0"/>
          <w:smallCaps w:val="0"/>
          <w:strike w:val="0"/>
          <w:sz w:val="12"/>
          <w:u w:val="none"/>
        </w:rPr>
        <w:t>Utibron</w:t>
      </w:r>
      <w:r>
        <w:rPr>
          <w:b w:val="0"/>
          <w:i w:val="0"/>
          <w:smallCaps w:val="0"/>
          <w:strike w:val="0"/>
          <w:sz w:val="12"/>
          <w:u w:val="none"/>
        </w:rPr>
        <w:t xml:space="preserve"> landed on the FTC's radar. Boehringer saw patents for its Striverdi and </w:t>
      </w:r>
      <w:r>
        <w:rPr>
          <w:b w:val="0"/>
          <w:i w:val="0"/>
          <w:smallCaps w:val="0"/>
          <w:strike w:val="0"/>
          <w:sz w:val="12"/>
          <w:u w:val="none"/>
        </w:rPr>
        <w:t>Stiolto</w:t>
      </w:r>
      <w:r>
        <w:rPr>
          <w:b w:val="0"/>
          <w:i w:val="0"/>
          <w:smallCaps w:val="0"/>
          <w:strike w:val="0"/>
          <w:sz w:val="12"/>
          <w:u w:val="none"/>
        </w:rPr>
        <w:t xml:space="preserve"> inhalations using the Respimat technology under the agency's microscope. In a statement shared with Fierce Pharma, Boehringer said it has “never wrongfully submitted patents for listing in the Orange Book—not for any of our inhaler products or any other products in our portfolio.” The company believes its patents in the FDA database are “valid, enforceable and properly listed.” “Drug-and-device combination products are complex and costly to develop and manufacture, and we file patents to protect our investment in innovations like these that benefit people and improve their lives.” Teva had the most patents implicated among the drugmakers, with about 60 patents targeted across five brands using the </w:t>
      </w:r>
      <w:r>
        <w:rPr>
          <w:b w:val="0"/>
          <w:i w:val="0"/>
          <w:smallCaps w:val="0"/>
          <w:strike w:val="0"/>
          <w:sz w:val="12"/>
          <w:u w:val="none"/>
        </w:rPr>
        <w:t>Respiclick</w:t>
      </w:r>
      <w:r>
        <w:rPr>
          <w:b w:val="0"/>
          <w:i w:val="0"/>
          <w:smallCaps w:val="0"/>
          <w:strike w:val="0"/>
          <w:sz w:val="12"/>
          <w:u w:val="none"/>
        </w:rPr>
        <w:t xml:space="preserve">, </w:t>
      </w:r>
      <w:r>
        <w:rPr>
          <w:b w:val="0"/>
          <w:i w:val="0"/>
          <w:smallCaps w:val="0"/>
          <w:strike w:val="0"/>
          <w:sz w:val="12"/>
          <w:u w:val="none"/>
        </w:rPr>
        <w:t>Digihaler</w:t>
      </w:r>
      <w:r>
        <w:rPr>
          <w:b w:val="0"/>
          <w:i w:val="0"/>
          <w:smallCaps w:val="0"/>
          <w:strike w:val="0"/>
          <w:sz w:val="12"/>
          <w:u w:val="none"/>
        </w:rPr>
        <w:t xml:space="preserve"> or </w:t>
      </w:r>
      <w:r>
        <w:rPr>
          <w:b w:val="0"/>
          <w:i w:val="0"/>
          <w:smallCaps w:val="0"/>
          <w:strike w:val="0"/>
          <w:sz w:val="12"/>
          <w:u w:val="none"/>
        </w:rPr>
        <w:t>Redihaler</w:t>
      </w:r>
      <w:r>
        <w:rPr>
          <w:b w:val="0"/>
          <w:i w:val="0"/>
          <w:smallCaps w:val="0"/>
          <w:strike w:val="0"/>
          <w:sz w:val="12"/>
          <w:u w:val="none"/>
        </w:rPr>
        <w:t xml:space="preserve"> platforms between it and its Norton Waterford subsidiary. The company did not immediately reply to a request for comment. Covis Pharma and </w:t>
      </w:r>
      <w:r>
        <w:rPr>
          <w:b w:val="0"/>
          <w:i w:val="0"/>
          <w:smallCaps w:val="0"/>
          <w:strike w:val="0"/>
          <w:sz w:val="12"/>
          <w:u w:val="none"/>
        </w:rPr>
        <w:t>Amphastar</w:t>
      </w:r>
      <w:r>
        <w:rPr>
          <w:b w:val="0"/>
          <w:i w:val="0"/>
          <w:smallCaps w:val="0"/>
          <w:strike w:val="0"/>
          <w:sz w:val="12"/>
          <w:u w:val="none"/>
        </w:rPr>
        <w:t xml:space="preserve"> Pharmaceuticals round out the eight companies, The FTC is currently challenging the patents under the FDA's regulatory dispute process, but the antitrust agency warned that it retains the right to take any further action. The </w:t>
      </w:r>
      <w:r>
        <w:rPr>
          <w:b w:val="0"/>
          <w:i w:val="0"/>
          <w:smallCaps w:val="0"/>
          <w:strike w:val="0"/>
          <w:sz w:val="22"/>
          <w:highlight w:val="cyan"/>
          <w:u w:val="single"/>
        </w:rPr>
        <w:t>FTC has yet to bring</w:t>
      </w:r>
      <w:r>
        <w:rPr>
          <w:b w:val="0"/>
          <w:i w:val="0"/>
          <w:smallCaps w:val="0"/>
          <w:strike w:val="0"/>
          <w:sz w:val="22"/>
          <w:u w:val="single"/>
        </w:rPr>
        <w:t xml:space="preserve"> any additional </w:t>
      </w:r>
      <w:r>
        <w:rPr>
          <w:b w:val="0"/>
          <w:i w:val="0"/>
          <w:smallCaps w:val="0"/>
          <w:strike w:val="0"/>
          <w:sz w:val="22"/>
          <w:highlight w:val="cyan"/>
          <w:u w:val="single"/>
        </w:rPr>
        <w:t>sanctions against companies</w:t>
      </w:r>
      <w:r>
        <w:rPr>
          <w:b w:val="0"/>
          <w:i w:val="0"/>
          <w:smallCaps w:val="0"/>
          <w:strike w:val="0"/>
          <w:sz w:val="22"/>
          <w:u w:val="single"/>
        </w:rPr>
        <w:t xml:space="preserve"> that have refused to remove patents </w:t>
      </w:r>
      <w:r>
        <w:rPr>
          <w:b w:val="0"/>
          <w:i w:val="0"/>
          <w:smallCaps w:val="0"/>
          <w:strike w:val="0"/>
          <w:sz w:val="22"/>
          <w:highlight w:val="cyan"/>
          <w:u w:val="single"/>
        </w:rPr>
        <w:t>in the</w:t>
      </w:r>
      <w:r>
        <w:rPr>
          <w:b w:val="0"/>
          <w:i w:val="0"/>
          <w:smallCaps w:val="0"/>
          <w:strike w:val="0"/>
          <w:sz w:val="22"/>
          <w:u w:val="single"/>
        </w:rPr>
        <w:t xml:space="preserve"> agency's </w:t>
      </w:r>
      <w:r>
        <w:rPr>
          <w:b w:val="0"/>
          <w:i w:val="0"/>
          <w:smallCaps w:val="0"/>
          <w:strike w:val="0"/>
          <w:sz w:val="22"/>
          <w:highlight w:val="cyan"/>
          <w:u w:val="single"/>
        </w:rPr>
        <w:t>first round of scrutiny.</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