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Pharma stats inflated – FTC is only scrutinizing improperly listed sham and device patents</w:t>
      </w:r>
    </w:p>
    <w:p>
      <w:pPr>
        <w:spacing w:after="80"/>
      </w:pPr>
      <w:r>
        <w:rPr>
          <w:b/>
          <w:i w:val="0"/>
          <w:smallCaps w:val="0"/>
          <w:strike w:val="0"/>
          <w:sz w:val="22"/>
          <w:u w:val="none"/>
        </w:rPr>
        <w:t>Medtech</w:t>
      </w:r>
      <w:r>
        <w:rPr>
          <w:b/>
          <w:i w:val="0"/>
          <w:smallCaps w:val="0"/>
          <w:strike w:val="0"/>
          <w:sz w:val="22"/>
          <w:u w:val="none"/>
        </w:rPr>
        <w:t xml:space="preserve"> 7/10 </w:t>
      </w:r>
      <w:r>
        <w:rPr>
          <w:b w:val="0"/>
          <w:i w:val="0"/>
          <w:smallCaps w:val="0"/>
          <w:strike w:val="0"/>
          <w:sz w:val="22"/>
          <w:u w:val="none"/>
        </w:rPr>
        <w:t>(</w:t>
      </w:r>
      <w:r>
        <w:rPr>
          <w:b w:val="0"/>
          <w:i w:val="0"/>
          <w:smallCaps w:val="0"/>
          <w:strike w:val="0"/>
          <w:sz w:val="22"/>
          <w:u w:val="none"/>
        </w:rPr>
        <w:t>Medtech</w:t>
      </w:r>
      <w:r>
        <w:rPr>
          <w:b w:val="0"/>
          <w:i w:val="0"/>
          <w:smallCaps w:val="0"/>
          <w:strike w:val="0"/>
          <w:sz w:val="22"/>
          <w:u w:val="none"/>
        </w:rPr>
        <w:t xml:space="preserve"> Insight, “Orange Book Is </w:t>
      </w:r>
      <w:r>
        <w:rPr>
          <w:b w:val="0"/>
          <w:i w:val="0"/>
          <w:smallCaps w:val="0"/>
          <w:strike w:val="0"/>
          <w:sz w:val="22"/>
          <w:u w:val="none"/>
        </w:rPr>
        <w:t>The</w:t>
      </w:r>
      <w:r>
        <w:rPr>
          <w:b w:val="0"/>
          <w:i w:val="0"/>
          <w:smallCaps w:val="0"/>
          <w:strike w:val="0"/>
          <w:sz w:val="22"/>
          <w:u w:val="none"/>
        </w:rPr>
        <w:t xml:space="preserve"> New Spat: FTC Seeks Removal Of 'Improperly' Listed Medical Device Patents,” Nexis Uni Database, July 10</w:t>
      </w:r>
      <w:r>
        <w:rPr>
          <w:b w:val="0"/>
          <w:i w:val="0"/>
          <w:smallCaps w:val="0"/>
          <w:strike w:val="0"/>
          <w:sz w:val="22"/>
          <w:u w:val="none"/>
        </w:rPr>
        <w:t>th</w:t>
      </w:r>
      <w:r>
        <w:rPr>
          <w:b w:val="0"/>
          <w:i w:val="0"/>
          <w:smallCaps w:val="0"/>
          <w:strike w:val="0"/>
          <w:sz w:val="22"/>
          <w:u w:val="none"/>
        </w:rPr>
        <w:t>, 2024, Accessed July 29</w:t>
      </w:r>
      <w:r>
        <w:rPr>
          <w:b w:val="0"/>
          <w:i w:val="0"/>
          <w:smallCaps w:val="0"/>
          <w:strike w:val="0"/>
          <w:sz w:val="22"/>
          <w:u w:val="none"/>
        </w:rPr>
        <w:t>th</w:t>
      </w:r>
      <w:r>
        <w:rPr>
          <w:b w:val="0"/>
          <w:i w:val="0"/>
          <w:smallCaps w:val="0"/>
          <w:strike w:val="0"/>
          <w:sz w:val="22"/>
          <w:u w:val="none"/>
        </w:rPr>
        <w:t xml:space="preserve">, 2024) </w:t>
      </w:r>
      <w:r>
        <w:rPr>
          <w:b w:val="0"/>
          <w:i w:val="0"/>
          <w:smallCaps w:val="0"/>
          <w:strike w:val="0"/>
          <w:sz w:val="22"/>
          <w:u w:val="none"/>
        </w:rPr>
        <w:t>cpsw-sns</w:t>
      </w:r>
    </w:p>
    <w:p>
      <w:pPr>
        <w:spacing w:after="60"/>
      </w:pPr>
      <w:r>
        <w:rPr>
          <w:b w:val="0"/>
          <w:i w:val="0"/>
          <w:smallCaps w:val="0"/>
          <w:strike w:val="0"/>
          <w:sz w:val="14"/>
          <w:u w:val="none"/>
        </w:rPr>
        <w:t xml:space="preserve">The </w:t>
      </w:r>
      <w:r>
        <w:rPr>
          <w:b w:val="0"/>
          <w:i w:val="0"/>
          <w:smallCaps w:val="0"/>
          <w:strike w:val="0"/>
          <w:sz w:val="22"/>
          <w:highlight w:val="cyan"/>
          <w:u w:val="single"/>
        </w:rPr>
        <w:t>F</w:t>
      </w:r>
      <w:r>
        <w:rPr>
          <w:b w:val="0"/>
          <w:i w:val="0"/>
          <w:smallCaps w:val="0"/>
          <w:strike w:val="0"/>
          <w:sz w:val="22"/>
          <w:u w:val="single"/>
        </w:rPr>
        <w:t xml:space="preserve">ederal </w:t>
      </w:r>
      <w:r>
        <w:rPr>
          <w:b w:val="0"/>
          <w:i w:val="0"/>
          <w:smallCaps w:val="0"/>
          <w:strike w:val="0"/>
          <w:sz w:val="22"/>
          <w:highlight w:val="cyan"/>
          <w:u w:val="single"/>
        </w:rPr>
        <w:t>T</w:t>
      </w:r>
      <w:r>
        <w:rPr>
          <w:b w:val="0"/>
          <w:i w:val="0"/>
          <w:smallCaps w:val="0"/>
          <w:strike w:val="0"/>
          <w:sz w:val="22"/>
          <w:u w:val="single"/>
        </w:rPr>
        <w:t xml:space="preserve">rade </w:t>
      </w:r>
      <w:r>
        <w:rPr>
          <w:b w:val="0"/>
          <w:i w:val="0"/>
          <w:smallCaps w:val="0"/>
          <w:strike w:val="0"/>
          <w:sz w:val="22"/>
          <w:highlight w:val="cyan"/>
          <w:u w:val="single"/>
        </w:rPr>
        <w:t>C</w:t>
      </w:r>
      <w:r>
        <w:rPr>
          <w:b w:val="0"/>
          <w:i w:val="0"/>
          <w:smallCaps w:val="0"/>
          <w:strike w:val="0"/>
          <w:sz w:val="22"/>
          <w:u w:val="single"/>
        </w:rPr>
        <w:t xml:space="preserve">ommission has </w:t>
      </w:r>
      <w:r>
        <w:rPr>
          <w:b w:val="0"/>
          <w:i w:val="0"/>
          <w:smallCaps w:val="0"/>
          <w:strike w:val="0"/>
          <w:sz w:val="22"/>
          <w:highlight w:val="cyan"/>
          <w:u w:val="single"/>
        </w:rPr>
        <w:t>challenged</w:t>
      </w:r>
      <w:r>
        <w:rPr>
          <w:b w:val="0"/>
          <w:i w:val="0"/>
          <w:smallCaps w:val="0"/>
          <w:strike w:val="0"/>
          <w:sz w:val="22"/>
          <w:u w:val="single"/>
        </w:rPr>
        <w:t xml:space="preserve"> more than a hundred </w:t>
      </w:r>
      <w:r>
        <w:rPr>
          <w:b w:val="0"/>
          <w:i w:val="0"/>
          <w:smallCaps w:val="0"/>
          <w:strike w:val="0"/>
          <w:sz w:val="22"/>
          <w:highlight w:val="cyan"/>
          <w:u w:val="single"/>
        </w:rPr>
        <w:t>medical device patents</w:t>
      </w:r>
      <w:r>
        <w:rPr>
          <w:b w:val="0"/>
          <w:i w:val="0"/>
          <w:smallCaps w:val="0"/>
          <w:strike w:val="0"/>
          <w:sz w:val="22"/>
          <w:u w:val="single"/>
        </w:rPr>
        <w:t xml:space="preserve"> listed in the Food and Drug Administration's Orange Book, </w:t>
      </w:r>
      <w:r>
        <w:rPr>
          <w:b w:val="0"/>
          <w:i w:val="0"/>
          <w:smallCaps w:val="0"/>
          <w:strike w:val="0"/>
          <w:sz w:val="22"/>
          <w:highlight w:val="cyan"/>
          <w:u w:val="single"/>
        </w:rPr>
        <w:t>claiming</w:t>
      </w:r>
      <w:r>
        <w:rPr>
          <w:b w:val="0"/>
          <w:i w:val="0"/>
          <w:smallCaps w:val="0"/>
          <w:strike w:val="0"/>
          <w:sz w:val="22"/>
          <w:u w:val="single"/>
        </w:rPr>
        <w:t xml:space="preserve"> the </w:t>
      </w:r>
      <w:r>
        <w:rPr>
          <w:b w:val="0"/>
          <w:i w:val="0"/>
          <w:smallCaps w:val="0"/>
          <w:strike w:val="0"/>
          <w:sz w:val="22"/>
          <w:highlight w:val="cyan"/>
          <w:u w:val="single"/>
        </w:rPr>
        <w:t>improper listings stifle comp</w:t>
      </w:r>
      <w:r>
        <w:rPr>
          <w:b w:val="0"/>
          <w:i w:val="0"/>
          <w:smallCaps w:val="0"/>
          <w:strike w:val="0"/>
          <w:sz w:val="22"/>
          <w:u w:val="single"/>
        </w:rPr>
        <w:t xml:space="preserve">etition </w:t>
      </w:r>
      <w:r>
        <w:rPr>
          <w:b w:val="0"/>
          <w:i w:val="0"/>
          <w:smallCaps w:val="0"/>
          <w:strike w:val="0"/>
          <w:sz w:val="22"/>
          <w:highlight w:val="cyan"/>
          <w:u w:val="single"/>
        </w:rPr>
        <w:t>and</w:t>
      </w:r>
      <w:r>
        <w:rPr>
          <w:b w:val="0"/>
          <w:i w:val="0"/>
          <w:smallCaps w:val="0"/>
          <w:strike w:val="0"/>
          <w:sz w:val="22"/>
          <w:u w:val="single"/>
        </w:rPr>
        <w:t xml:space="preserve"> further </w:t>
      </w:r>
      <w:r>
        <w:rPr>
          <w:b w:val="0"/>
          <w:i w:val="0"/>
          <w:smallCaps w:val="0"/>
          <w:strike w:val="0"/>
          <w:sz w:val="22"/>
          <w:highlight w:val="cyan"/>
          <w:u w:val="single"/>
        </w:rPr>
        <w:t>increase the price of drugs.</w:t>
      </w:r>
      <w:r>
        <w:rPr>
          <w:b w:val="0"/>
          <w:i w:val="0"/>
          <w:smallCaps w:val="0"/>
          <w:strike w:val="0"/>
          <w:sz w:val="22"/>
          <w:u w:val="single"/>
        </w:rPr>
        <w:t xml:space="preserve"> The Orange Book - officially the FDA's "Approved Drug Products with Therapeutic Equivalence Evaluations" - is the agency's authoritative guide to approved prescription drugs. </w:t>
      </w:r>
      <w:r>
        <w:rPr>
          <w:b w:val="0"/>
          <w:i w:val="0"/>
          <w:smallCaps w:val="0"/>
          <w:strike w:val="0"/>
          <w:sz w:val="14"/>
          <w:u w:val="none"/>
        </w:rPr>
        <w:t xml:space="preserve">Along with publishing all FDA-approved medications, </w:t>
      </w:r>
      <w:r>
        <w:rPr>
          <w:b w:val="0"/>
          <w:i w:val="0"/>
          <w:smallCaps w:val="0"/>
          <w:strike w:val="0"/>
          <w:sz w:val="22"/>
          <w:u w:val="single"/>
        </w:rPr>
        <w:t xml:space="preserve">the </w:t>
      </w:r>
      <w:r>
        <w:rPr>
          <w:b w:val="0"/>
          <w:i w:val="0"/>
          <w:smallCaps w:val="0"/>
          <w:strike w:val="0"/>
          <w:sz w:val="22"/>
          <w:u w:val="single"/>
        </w:rPr>
        <w:t>Orange Book includes a drug's active ingredients, dosage forms, strengths and approval dates</w:t>
      </w:r>
      <w:r>
        <w:rPr>
          <w:b w:val="0"/>
          <w:i w:val="0"/>
          <w:smallCaps w:val="0"/>
          <w:strike w:val="0"/>
          <w:sz w:val="14"/>
          <w:u w:val="none"/>
        </w:rPr>
        <w:t xml:space="preserve">, as well as information on therapeutic equivalence for generics. Additionally, </w:t>
      </w:r>
      <w:r>
        <w:rPr>
          <w:b w:val="0"/>
          <w:i w:val="0"/>
          <w:smallCaps w:val="0"/>
          <w:strike w:val="0"/>
          <w:sz w:val="22"/>
          <w:u w:val="single"/>
        </w:rPr>
        <w:t xml:space="preserve">the book includes pertinent patent information for the listed drugs. </w:t>
      </w:r>
      <w:r>
        <w:rPr>
          <w:b w:val="0"/>
          <w:i w:val="0"/>
          <w:smallCaps w:val="0"/>
          <w:strike w:val="0"/>
          <w:sz w:val="14"/>
          <w:u w:val="none"/>
        </w:rPr>
        <w:t xml:space="preserve">But as Sara Koblitz, director at the law firm Hyman, Phelps &amp; McNamara, told </w:t>
      </w:r>
      <w:r>
        <w:rPr>
          <w:b w:val="0"/>
          <w:i w:val="0"/>
          <w:smallCaps w:val="0"/>
          <w:strike w:val="0"/>
          <w:sz w:val="14"/>
          <w:u w:val="none"/>
        </w:rPr>
        <w:t>Medtech</w:t>
      </w:r>
      <w:r>
        <w:rPr>
          <w:b w:val="0"/>
          <w:i w:val="0"/>
          <w:smallCaps w:val="0"/>
          <w:strike w:val="0"/>
          <w:sz w:val="14"/>
          <w:u w:val="none"/>
        </w:rPr>
        <w:t xml:space="preserve"> Insight, the Orange Book also lists medical devices such as inhalers and injectors that deliver drugs. </w:t>
      </w:r>
      <w:r>
        <w:rPr>
          <w:b w:val="0"/>
          <w:i w:val="0"/>
          <w:smallCaps w:val="0"/>
          <w:strike w:val="0"/>
          <w:sz w:val="22"/>
          <w:u w:val="single"/>
        </w:rPr>
        <w:t xml:space="preserve">These </w:t>
      </w:r>
      <w:r>
        <w:rPr>
          <w:b w:val="0"/>
          <w:i w:val="0"/>
          <w:smallCaps w:val="0"/>
          <w:strike w:val="0"/>
          <w:sz w:val="22"/>
          <w:highlight w:val="cyan"/>
          <w:u w:val="single"/>
        </w:rPr>
        <w:t>device patents</w:t>
      </w:r>
      <w:r>
        <w:rPr>
          <w:b w:val="0"/>
          <w:i w:val="0"/>
          <w:smallCaps w:val="0"/>
          <w:strike w:val="0"/>
          <w:sz w:val="22"/>
          <w:u w:val="single"/>
        </w:rPr>
        <w:t xml:space="preserve">, however, are not </w:t>
      </w:r>
      <w:r>
        <w:rPr>
          <w:b w:val="0"/>
          <w:i w:val="0"/>
          <w:smallCaps w:val="0"/>
          <w:strike w:val="0"/>
          <w:sz w:val="22"/>
          <w:highlight w:val="cyan"/>
          <w:u w:val="single"/>
        </w:rPr>
        <w:t>listed</w:t>
      </w:r>
      <w:r>
        <w:rPr>
          <w:b w:val="0"/>
          <w:i w:val="0"/>
          <w:smallCaps w:val="0"/>
          <w:strike w:val="0"/>
          <w:sz w:val="22"/>
          <w:u w:val="single"/>
        </w:rPr>
        <w:t xml:space="preserve"> separately in the Orange Book but </w:t>
      </w:r>
      <w:r>
        <w:rPr>
          <w:b w:val="0"/>
          <w:i w:val="0"/>
          <w:smallCaps w:val="0"/>
          <w:strike w:val="0"/>
          <w:sz w:val="22"/>
          <w:highlight w:val="cyan"/>
          <w:u w:val="single"/>
        </w:rPr>
        <w:t>as part of the patented drug</w:t>
      </w:r>
      <w:r>
        <w:rPr>
          <w:b w:val="0"/>
          <w:i w:val="0"/>
          <w:smallCaps w:val="0"/>
          <w:strike w:val="0"/>
          <w:sz w:val="14"/>
          <w:u w:val="none"/>
        </w:rPr>
        <w:t xml:space="preserve">. "If the drug is used with the device, then the device can be listed with the drug," Koblitz said. Patent Protection Koblitz further explained that </w:t>
      </w:r>
      <w:r>
        <w:rPr>
          <w:b w:val="0"/>
          <w:i w:val="0"/>
          <w:smallCaps w:val="0"/>
          <w:strike w:val="0"/>
          <w:sz w:val="22"/>
          <w:u w:val="single"/>
        </w:rPr>
        <w:t xml:space="preserve">listing device patents in the Orange Book </w:t>
      </w:r>
      <w:r>
        <w:rPr>
          <w:b w:val="0"/>
          <w:i w:val="0"/>
          <w:smallCaps w:val="0"/>
          <w:strike w:val="0"/>
          <w:sz w:val="22"/>
          <w:highlight w:val="cyan"/>
          <w:u w:val="single"/>
        </w:rPr>
        <w:t>provides companies with pre-approval enforcement</w:t>
      </w:r>
      <w:r>
        <w:rPr>
          <w:b w:val="0"/>
          <w:i w:val="0"/>
          <w:smallCaps w:val="0"/>
          <w:strike w:val="0"/>
          <w:sz w:val="22"/>
          <w:u w:val="single"/>
        </w:rPr>
        <w:t xml:space="preserve"> of their patents, which </w:t>
      </w:r>
      <w:r>
        <w:rPr>
          <w:b w:val="0"/>
          <w:i w:val="0"/>
          <w:smallCaps w:val="0"/>
          <w:strike w:val="0"/>
          <w:sz w:val="22"/>
          <w:highlight w:val="cyan"/>
          <w:u w:val="single"/>
        </w:rPr>
        <w:t>allows them to bring</w:t>
      </w:r>
      <w:r>
        <w:rPr>
          <w:b w:val="0"/>
          <w:i w:val="0"/>
          <w:smallCaps w:val="0"/>
          <w:strike w:val="0"/>
          <w:sz w:val="22"/>
          <w:u w:val="single"/>
        </w:rPr>
        <w:t xml:space="preserve"> patent </w:t>
      </w:r>
      <w:r>
        <w:rPr>
          <w:b w:val="0"/>
          <w:i w:val="0"/>
          <w:smallCaps w:val="0"/>
          <w:strike w:val="0"/>
          <w:sz w:val="22"/>
          <w:highlight w:val="cyan"/>
          <w:u w:val="single"/>
        </w:rPr>
        <w:t>infringement litigation</w:t>
      </w:r>
      <w:r>
        <w:rPr>
          <w:b w:val="0"/>
          <w:i w:val="0"/>
          <w:smallCaps w:val="0"/>
          <w:strike w:val="0"/>
          <w:sz w:val="22"/>
          <w:u w:val="single"/>
        </w:rPr>
        <w:t xml:space="preserve"> against a potential competitor </w:t>
      </w:r>
      <w:r>
        <w:rPr>
          <w:b w:val="0"/>
          <w:i w:val="0"/>
          <w:smallCaps w:val="0"/>
          <w:strike w:val="0"/>
          <w:sz w:val="22"/>
          <w:highlight w:val="cyan"/>
          <w:u w:val="single"/>
        </w:rPr>
        <w:t>before</w:t>
      </w:r>
      <w:r>
        <w:rPr>
          <w:b w:val="0"/>
          <w:i w:val="0"/>
          <w:smallCaps w:val="0"/>
          <w:strike w:val="0"/>
          <w:sz w:val="22"/>
          <w:u w:val="single"/>
        </w:rPr>
        <w:t xml:space="preserve"> that </w:t>
      </w:r>
      <w:r>
        <w:rPr>
          <w:b w:val="0"/>
          <w:i w:val="0"/>
          <w:smallCaps w:val="0"/>
          <w:strike w:val="0"/>
          <w:sz w:val="22"/>
          <w:highlight w:val="cyan"/>
          <w:u w:val="single"/>
        </w:rPr>
        <w:t>competitor's product has been approved.</w:t>
      </w:r>
      <w:r>
        <w:rPr>
          <w:b w:val="0"/>
          <w:i w:val="0"/>
          <w:smallCaps w:val="0"/>
          <w:strike w:val="0"/>
          <w:sz w:val="22"/>
          <w:u w:val="single"/>
        </w:rPr>
        <w:t xml:space="preserve"> </w:t>
      </w:r>
      <w:r>
        <w:rPr>
          <w:b w:val="0"/>
          <w:i w:val="0"/>
          <w:smallCaps w:val="0"/>
          <w:strike w:val="0"/>
          <w:sz w:val="14"/>
          <w:u w:val="none"/>
        </w:rPr>
        <w:t xml:space="preserve">For example, as Koblitz pointed out in a recent FDA Law Blog post, Teva Pharmaceutical initiated pre-launch patent litigation against </w:t>
      </w:r>
      <w:r>
        <w:rPr>
          <w:b w:val="0"/>
          <w:i w:val="0"/>
          <w:smallCaps w:val="0"/>
          <w:strike w:val="0"/>
          <w:sz w:val="14"/>
          <w:u w:val="none"/>
        </w:rPr>
        <w:t>Amneal</w:t>
      </w:r>
      <w:r>
        <w:rPr>
          <w:b w:val="0"/>
          <w:i w:val="0"/>
          <w:smallCaps w:val="0"/>
          <w:strike w:val="0"/>
          <w:sz w:val="14"/>
          <w:u w:val="none"/>
        </w:rPr>
        <w:t xml:space="preserve"> Pharmaceuticals in March for infringement of five of its Orange Book-listed patents related to Teva's combination product, ProAir HFA, which is the brand name of the drug albuterol sulfate used with a metered dose inhaler. "</w:t>
      </w:r>
      <w:r>
        <w:rPr>
          <w:b w:val="0"/>
          <w:i w:val="0"/>
          <w:smallCaps w:val="0"/>
          <w:strike w:val="0"/>
          <w:sz w:val="22"/>
          <w:highlight w:val="cyan"/>
          <w:u w:val="single"/>
        </w:rPr>
        <w:t>Wrongfully listed patents</w:t>
      </w:r>
      <w:r>
        <w:rPr>
          <w:b w:val="0"/>
          <w:i w:val="0"/>
          <w:smallCaps w:val="0"/>
          <w:strike w:val="0"/>
          <w:sz w:val="22"/>
          <w:u w:val="single"/>
        </w:rPr>
        <w:t xml:space="preserve"> can significantly </w:t>
      </w:r>
      <w:r>
        <w:rPr>
          <w:b w:val="0"/>
          <w:i w:val="0"/>
          <w:smallCaps w:val="0"/>
          <w:strike w:val="0"/>
          <w:sz w:val="22"/>
          <w:highlight w:val="cyan"/>
          <w:u w:val="single"/>
        </w:rPr>
        <w:t>drive up</w:t>
      </w:r>
      <w:r>
        <w:rPr>
          <w:b w:val="0"/>
          <w:i w:val="0"/>
          <w:smallCaps w:val="0"/>
          <w:strike w:val="0"/>
          <w:sz w:val="22"/>
          <w:u w:val="single"/>
        </w:rPr>
        <w:t xml:space="preserve"> the </w:t>
      </w:r>
      <w:r>
        <w:rPr>
          <w:b w:val="0"/>
          <w:i w:val="0"/>
          <w:smallCaps w:val="0"/>
          <w:strike w:val="0"/>
          <w:sz w:val="22"/>
          <w:highlight w:val="cyan"/>
          <w:u w:val="single"/>
        </w:rPr>
        <w:t>prices</w:t>
      </w:r>
      <w:r>
        <w:rPr>
          <w:b w:val="0"/>
          <w:i w:val="0"/>
          <w:smallCaps w:val="0"/>
          <w:strike w:val="0"/>
          <w:sz w:val="22"/>
          <w:u w:val="single"/>
        </w:rPr>
        <w:t xml:space="preserve"> Americans must pay for medicines and drug products while undermining fair and honest competition</w:t>
      </w:r>
      <w:r>
        <w:rPr>
          <w:b w:val="0"/>
          <w:i w:val="0"/>
          <w:smallCaps w:val="0"/>
          <w:strike w:val="0"/>
          <w:sz w:val="14"/>
          <w:u w:val="none"/>
        </w:rPr>
        <w:t xml:space="preserve">." - Lina Khan In response to Teva's patent litigation, </w:t>
      </w:r>
      <w:r>
        <w:rPr>
          <w:b w:val="0"/>
          <w:i w:val="0"/>
          <w:smallCaps w:val="0"/>
          <w:strike w:val="0"/>
          <w:sz w:val="14"/>
          <w:u w:val="none"/>
        </w:rPr>
        <w:t>Amneal</w:t>
      </w:r>
      <w:r>
        <w:rPr>
          <w:b w:val="0"/>
          <w:i w:val="0"/>
          <w:smallCaps w:val="0"/>
          <w:strike w:val="0"/>
          <w:sz w:val="14"/>
          <w:u w:val="none"/>
        </w:rPr>
        <w:t xml:space="preserve"> filed a counter claim seeking a declaratory judgment of non-infringement and asked the court to invalidate the five Teva patents and have them removed from the Orange Book. </w:t>
      </w:r>
      <w:r>
        <w:rPr>
          <w:b w:val="0"/>
          <w:i w:val="0"/>
          <w:smallCaps w:val="0"/>
          <w:strike w:val="0"/>
          <w:sz w:val="14"/>
          <w:u w:val="none"/>
        </w:rPr>
        <w:t>Amneal</w:t>
      </w:r>
      <w:r>
        <w:rPr>
          <w:b w:val="0"/>
          <w:i w:val="0"/>
          <w:smallCaps w:val="0"/>
          <w:strike w:val="0"/>
          <w:sz w:val="14"/>
          <w:u w:val="none"/>
        </w:rPr>
        <w:t xml:space="preserve"> further sought relief from "allegedly anticompetitive conduct in violation of state and federal antitrust laws." </w:t>
      </w:r>
      <w:r>
        <w:rPr>
          <w:b w:val="0"/>
          <w:i w:val="0"/>
          <w:smallCaps w:val="0"/>
          <w:strike w:val="0"/>
          <w:sz w:val="22"/>
          <w:u w:val="single"/>
        </w:rPr>
        <w:t>The FTC,</w:t>
      </w:r>
      <w:r>
        <w:rPr>
          <w:b w:val="0"/>
          <w:i w:val="0"/>
          <w:smallCaps w:val="0"/>
          <w:strike w:val="0"/>
          <w:sz w:val="14"/>
          <w:u w:val="none"/>
        </w:rPr>
        <w:t xml:space="preserve"> Koblitz pointed out, filed an amicus brief in that suit arguing that the </w:t>
      </w:r>
      <w:r>
        <w:rPr>
          <w:b w:val="0"/>
          <w:i w:val="0"/>
          <w:smallCaps w:val="0"/>
          <w:strike w:val="0"/>
          <w:sz w:val="22"/>
          <w:u w:val="single"/>
        </w:rPr>
        <w:t xml:space="preserve">Teva patents "do not claim" any FDA-approved drug. </w:t>
      </w:r>
      <w:r>
        <w:rPr>
          <w:b w:val="0"/>
          <w:i w:val="0"/>
          <w:smallCaps w:val="0"/>
          <w:strike w:val="0"/>
          <w:sz w:val="14"/>
          <w:u w:val="none"/>
        </w:rPr>
        <w:t xml:space="preserve">SARA KOBLITZ In her blog, Koblitz cites the FTC's view: </w:t>
      </w:r>
      <w:r>
        <w:rPr>
          <w:b w:val="0"/>
          <w:i w:val="0"/>
          <w:smallCaps w:val="0"/>
          <w:strike w:val="0"/>
          <w:sz w:val="22"/>
          <w:u w:val="single"/>
        </w:rPr>
        <w:t>"</w:t>
      </w:r>
      <w:r>
        <w:rPr>
          <w:b w:val="0"/>
          <w:i w:val="0"/>
          <w:smallCaps w:val="0"/>
          <w:strike w:val="0"/>
          <w:sz w:val="22"/>
          <w:highlight w:val="cyan"/>
          <w:u w:val="single"/>
        </w:rPr>
        <w:t>Device patents that do not mention any drug</w:t>
      </w:r>
      <w:r>
        <w:rPr>
          <w:b w:val="0"/>
          <w:i w:val="0"/>
          <w:smallCaps w:val="0"/>
          <w:strike w:val="0"/>
          <w:sz w:val="22"/>
          <w:u w:val="single"/>
        </w:rPr>
        <w:t xml:space="preserve"> in their claims </w:t>
      </w:r>
      <w:r>
        <w:rPr>
          <w:b w:val="0"/>
          <w:i w:val="0"/>
          <w:smallCaps w:val="0"/>
          <w:strike w:val="0"/>
          <w:sz w:val="22"/>
          <w:highlight w:val="cyan"/>
          <w:u w:val="single"/>
        </w:rPr>
        <w:t>do not meet the statutory criteria</w:t>
      </w:r>
      <w:r>
        <w:rPr>
          <w:b w:val="0"/>
          <w:i w:val="0"/>
          <w:smallCaps w:val="0"/>
          <w:strike w:val="0"/>
          <w:sz w:val="22"/>
          <w:u w:val="single"/>
        </w:rPr>
        <w:t xml:space="preserve"> for Orange Book listing, and a device patent that is improperly listed in the Orange Book must be delisted." </w:t>
      </w:r>
      <w:r>
        <w:rPr>
          <w:b w:val="0"/>
          <w:i w:val="0"/>
          <w:smallCaps w:val="0"/>
          <w:strike w:val="0"/>
          <w:sz w:val="14"/>
          <w:u w:val="none"/>
        </w:rPr>
        <w:t xml:space="preserve">Last month, the District Court of New Jersey ruled Teva's patents were improperly listed and ordered their removal from the Orange Book. Moreover, the court also ruled that Teva's patents, which only covered the inhaler component of the ProAir HFA drug, are not properly listed either. Koblitz quotes the court's opinion: "The inhaler patents do not claim the drug for which the applicant submitted the application." As Koblitz later explained, this means that while the court acknowledged that the definition of a drug is broad enough to include the device used to deliver it - in this case the inhaler - the court also found the definition too narrow to establish the claim on the inhaler patents without specifying the drug used with the inhaler. In other words, because the FDA identified "albuterol sulfate HFA inhalation aerosol" as the drug on Teva's new drug application (NDA) to the agency, albuterol sulfate must be claimed in the inhaler patent for it to be eligible for Orange Book listing. Teva has appealed the ruling. More Aggressive Posture </w:t>
      </w:r>
      <w:r>
        <w:rPr>
          <w:b w:val="0"/>
          <w:i w:val="0"/>
          <w:smallCaps w:val="0"/>
          <w:strike w:val="0"/>
          <w:sz w:val="14"/>
          <w:u w:val="none"/>
        </w:rPr>
        <w:t>In</w:t>
      </w:r>
      <w:r>
        <w:rPr>
          <w:b w:val="0"/>
          <w:i w:val="0"/>
          <w:smallCaps w:val="0"/>
          <w:strike w:val="0"/>
          <w:sz w:val="14"/>
          <w:u w:val="none"/>
        </w:rPr>
        <w:t xml:space="preserve"> November 2023, the FTC sent letters to 10 of the biggest pharmaceutical companies, including Teva, challenging more than one hundred patents of brand-name asthma inhalers, epinephrine autoinjectors, and other combination products as improperly or inaccurately listed in the Orange Book. The </w:t>
      </w:r>
      <w:r>
        <w:rPr>
          <w:b w:val="0"/>
          <w:i w:val="0"/>
          <w:smallCaps w:val="0"/>
          <w:strike w:val="0"/>
          <w:sz w:val="22"/>
          <w:u w:val="single"/>
        </w:rPr>
        <w:t xml:space="preserve">FTC also notified the FDA that it disputes the accuracy of these patents. </w:t>
      </w:r>
      <w:r>
        <w:rPr>
          <w:b w:val="0"/>
          <w:i w:val="0"/>
          <w:smallCaps w:val="0"/>
          <w:strike w:val="0"/>
          <w:sz w:val="14"/>
          <w:u w:val="none"/>
        </w:rPr>
        <w:t xml:space="preserve">"The FTC has now taken the position that </w:t>
      </w:r>
      <w:r>
        <w:rPr>
          <w:b w:val="0"/>
          <w:i w:val="0"/>
          <w:smallCaps w:val="0"/>
          <w:strike w:val="0"/>
          <w:sz w:val="22"/>
          <w:u w:val="single"/>
        </w:rPr>
        <w:t xml:space="preserve">device patents that do not include the specific drug product that is delivered by that device shouldn't be listed," </w:t>
      </w:r>
      <w:r>
        <w:rPr>
          <w:b w:val="0"/>
          <w:i w:val="0"/>
          <w:smallCaps w:val="0"/>
          <w:strike w:val="0"/>
          <w:sz w:val="14"/>
          <w:u w:val="none"/>
        </w:rPr>
        <w:t xml:space="preserve">Koblitz said, noting this issue is one the FDA would rather not deal with and has kicked down the road for some time. "The FDA has never opined on it," she added. "They've been asked the question since 2005 and have refused to answer. So, everybody has been listing their device patents assuming they are integral to the use of the drug product listed in the book." But </w:t>
      </w:r>
      <w:r>
        <w:rPr>
          <w:b w:val="0"/>
          <w:i w:val="0"/>
          <w:smallCaps w:val="0"/>
          <w:strike w:val="0"/>
          <w:sz w:val="22"/>
          <w:u w:val="single"/>
        </w:rPr>
        <w:t xml:space="preserve">while the FDA has not been clear on the patent question, the FTC now has. </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