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w:t>
      </w:r>
      <w:r>
        <w:rPr>
          <w:b/>
          <w:i w:val="0"/>
          <w:smallCaps w:val="0"/>
          <w:strike w:val="0"/>
          <w:sz w:val="26"/>
          <w:u w:val="none"/>
        </w:rPr>
        <w:t xml:space="preserve"> patents being challenged are for inhalers – those aren’t the same as vaccines necessary to solve their advantages.</w:t>
      </w:r>
      <w:r>
        <w:rPr>
          <w:b/>
          <w:i w:val="0"/>
          <w:smallCaps w:val="0"/>
          <w:strike w:val="0"/>
          <w:sz w:val="26"/>
          <w:u w:val="none"/>
        </w:rPr>
        <w:t xml:space="preserve"> </w:t>
      </w:r>
    </w:p>
    <w:p>
      <w:pPr>
        <w:spacing w:after="80"/>
      </w:pPr>
      <w:r>
        <w:rPr>
          <w:b/>
          <w:i w:val="0"/>
          <w:smallCaps w:val="0"/>
          <w:strike w:val="0"/>
          <w:sz w:val="26"/>
          <w:u w:val="none"/>
        </w:rPr>
        <w:t>O’Brien 5-08</w:t>
      </w:r>
      <w:r>
        <w:rPr>
          <w:b w:val="0"/>
          <w:i w:val="0"/>
          <w:smallCaps w:val="0"/>
          <w:strike w:val="0"/>
          <w:sz w:val="22"/>
          <w:u w:val="none"/>
        </w:rPr>
        <w:t xml:space="preserve">-2024. [George A, JD, Partner (focus on life sciences &amp; FDA regulation), Mayer Brown; "US FTC Continues Aggressive Scrutiny of Pharmaceutical Patents Listed in the Orange Book," Mayer Brown, </w:t>
      </w:r>
      <w:r>
        <w:rPr>
          <w:b w:val="0"/>
          <w:i w:val="0"/>
          <w:smallCaps w:val="0"/>
          <w:strike w:val="0"/>
          <w:sz w:val="22"/>
          <w:u w:val="none"/>
        </w:rPr>
        <w:t xml:space="preserve"> //</w:t>
      </w:r>
      <w:r>
        <w:rPr>
          <w:b w:val="0"/>
          <w:i w:val="0"/>
          <w:smallCaps w:val="0"/>
          <w:strike w:val="0"/>
          <w:sz w:val="22"/>
          <w:u w:val="none"/>
        </w:rPr>
        <w:t>gbn</w:t>
      </w:r>
      <w:r>
        <w:rPr>
          <w:b w:val="0"/>
          <w:i w:val="0"/>
          <w:smallCaps w:val="0"/>
          <w:strike w:val="0"/>
          <w:sz w:val="22"/>
          <w:u w:val="none"/>
        </w:rPr>
        <w:t>-ay]</w:t>
      </w:r>
    </w:p>
    <w:p>
      <w:pPr>
        <w:spacing w:after="60"/>
      </w:pPr>
      <w:r>
        <w:rPr>
          <w:b w:val="0"/>
          <w:i w:val="0"/>
          <w:smallCaps w:val="0"/>
          <w:strike w:val="0"/>
          <w:sz w:val="16"/>
          <w:u w:val="none"/>
        </w:rPr>
        <w:t xml:space="preserve">On April 30, 2024, </w:t>
      </w:r>
      <w:r>
        <w:rPr>
          <w:b w:val="0"/>
          <w:i w:val="0"/>
          <w:smallCaps w:val="0"/>
          <w:strike w:val="0"/>
          <w:sz w:val="22"/>
          <w:highlight w:val="cyan"/>
          <w:u w:val="single"/>
        </w:rPr>
        <w:t>the</w:t>
      </w:r>
      <w:r>
        <w:rPr>
          <w:b w:val="0"/>
          <w:i w:val="0"/>
          <w:smallCaps w:val="0"/>
          <w:strike w:val="0"/>
          <w:sz w:val="16"/>
          <w:u w:val="none"/>
        </w:rPr>
        <w:t xml:space="preserve"> US Federal Trade Commission (“</w:t>
      </w:r>
      <w:r>
        <w:rPr>
          <w:b w:val="0"/>
          <w:i w:val="0"/>
          <w:smallCaps w:val="0"/>
          <w:strike w:val="0"/>
          <w:sz w:val="22"/>
          <w:highlight w:val="cyan"/>
          <w:u w:val="single"/>
        </w:rPr>
        <w:t>FTC</w:t>
      </w:r>
      <w:r>
        <w:rPr>
          <w:b w:val="0"/>
          <w:i w:val="0"/>
          <w:smallCaps w:val="0"/>
          <w:strike w:val="0"/>
          <w:sz w:val="16"/>
          <w:u w:val="none"/>
        </w:rPr>
        <w:t xml:space="preserve">”) </w:t>
      </w:r>
      <w:r>
        <w:rPr>
          <w:b w:val="0"/>
          <w:i w:val="0"/>
          <w:smallCaps w:val="0"/>
          <w:strike w:val="0"/>
          <w:sz w:val="22"/>
          <w:highlight w:val="cyan"/>
          <w:u w:val="single"/>
        </w:rPr>
        <w:t>announced</w:t>
      </w:r>
      <w:r>
        <w:rPr>
          <w:b w:val="0"/>
          <w:i w:val="0"/>
          <w:smallCaps w:val="0"/>
          <w:strike w:val="0"/>
          <w:sz w:val="16"/>
          <w:u w:val="none"/>
        </w:rPr>
        <w:t xml:space="preserve"> that it had sent “</w:t>
      </w:r>
      <w:r>
        <w:rPr>
          <w:b w:val="0"/>
          <w:i w:val="0"/>
          <w:smallCaps w:val="0"/>
          <w:strike w:val="0"/>
          <w:sz w:val="22"/>
          <w:highlight w:val="cyan"/>
          <w:u w:val="single"/>
        </w:rPr>
        <w:t>warning letters</w:t>
      </w:r>
      <w:r>
        <w:rPr>
          <w:b w:val="0"/>
          <w:i w:val="0"/>
          <w:smallCaps w:val="0"/>
          <w:strike w:val="0"/>
          <w:sz w:val="16"/>
          <w:u w:val="none"/>
        </w:rPr>
        <w:t xml:space="preserve">” </w:t>
      </w:r>
      <w:r>
        <w:rPr>
          <w:b w:val="0"/>
          <w:i w:val="0"/>
          <w:smallCaps w:val="0"/>
          <w:strike w:val="0"/>
          <w:sz w:val="22"/>
          <w:highlight w:val="cyan"/>
          <w:u w:val="single"/>
        </w:rPr>
        <w:t>to</w:t>
      </w:r>
      <w:r>
        <w:rPr>
          <w:b w:val="0"/>
          <w:i w:val="0"/>
          <w:smallCaps w:val="0"/>
          <w:strike w:val="0"/>
          <w:sz w:val="16"/>
          <w:u w:val="none"/>
        </w:rPr>
        <w:t xml:space="preserve"> 10 branded </w:t>
      </w:r>
      <w:r>
        <w:rPr>
          <w:b w:val="0"/>
          <w:i w:val="0"/>
          <w:smallCaps w:val="0"/>
          <w:strike w:val="0"/>
          <w:sz w:val="22"/>
          <w:highlight w:val="cyan"/>
          <w:u w:val="single"/>
        </w:rPr>
        <w:t>pharma</w:t>
      </w:r>
      <w:r>
        <w:rPr>
          <w:b w:val="0"/>
          <w:i w:val="0"/>
          <w:smallCaps w:val="0"/>
          <w:strike w:val="0"/>
          <w:sz w:val="22"/>
          <w:u w:val="single"/>
        </w:rPr>
        <w:t xml:space="preserve">ceutical </w:t>
      </w:r>
      <w:r>
        <w:rPr>
          <w:b w:val="0"/>
          <w:i w:val="0"/>
          <w:smallCaps w:val="0"/>
          <w:strike w:val="0"/>
          <w:sz w:val="22"/>
          <w:highlight w:val="cyan"/>
          <w:u w:val="single"/>
        </w:rPr>
        <w:t>manufacturers, alleging</w:t>
      </w:r>
      <w:r>
        <w:rPr>
          <w:b w:val="0"/>
          <w:i w:val="0"/>
          <w:smallCaps w:val="0"/>
          <w:strike w:val="0"/>
          <w:sz w:val="16"/>
          <w:u w:val="none"/>
        </w:rPr>
        <w:t xml:space="preserve"> that the </w:t>
      </w:r>
      <w:r>
        <w:rPr>
          <w:b w:val="0"/>
          <w:i w:val="0"/>
          <w:smallCaps w:val="0"/>
          <w:strike w:val="0"/>
          <w:sz w:val="22"/>
          <w:u w:val="single"/>
        </w:rPr>
        <w:t>companies</w:t>
      </w:r>
      <w:r>
        <w:rPr>
          <w:b w:val="0"/>
          <w:i w:val="0"/>
          <w:smallCaps w:val="0"/>
          <w:strike w:val="0"/>
          <w:sz w:val="16"/>
          <w:u w:val="none"/>
        </w:rPr>
        <w:t xml:space="preserve"> had </w:t>
      </w:r>
      <w:r>
        <w:rPr>
          <w:b w:val="0"/>
          <w:i w:val="0"/>
          <w:smallCaps w:val="0"/>
          <w:strike w:val="0"/>
          <w:sz w:val="22"/>
          <w:u w:val="single"/>
        </w:rPr>
        <w:t>made “improper or inaccurate listing of patents” in the</w:t>
      </w:r>
      <w:r>
        <w:rPr>
          <w:b w:val="0"/>
          <w:i w:val="0"/>
          <w:smallCaps w:val="0"/>
          <w:strike w:val="0"/>
          <w:sz w:val="16"/>
          <w:u w:val="none"/>
        </w:rPr>
        <w:t xml:space="preserve"> Food and Drug Administration’s (“</w:t>
      </w:r>
      <w:r>
        <w:rPr>
          <w:b w:val="0"/>
          <w:i w:val="0"/>
          <w:smallCaps w:val="0"/>
          <w:strike w:val="0"/>
          <w:sz w:val="22"/>
          <w:u w:val="single"/>
        </w:rPr>
        <w:t>FDA</w:t>
      </w:r>
      <w:r>
        <w:rPr>
          <w:b w:val="0"/>
          <w:i w:val="0"/>
          <w:smallCaps w:val="0"/>
          <w:strike w:val="0"/>
          <w:sz w:val="16"/>
          <w:u w:val="none"/>
        </w:rPr>
        <w:t>”) “</w:t>
      </w:r>
      <w:r>
        <w:rPr>
          <w:b w:val="0"/>
          <w:i w:val="0"/>
          <w:smallCaps w:val="0"/>
          <w:strike w:val="0"/>
          <w:sz w:val="22"/>
          <w:u w:val="single"/>
        </w:rPr>
        <w:t>Orange Book</w:t>
      </w:r>
      <w:r>
        <w:rPr>
          <w:b w:val="0"/>
          <w:i w:val="0"/>
          <w:smallCaps w:val="0"/>
          <w:strike w:val="0"/>
          <w:sz w:val="16"/>
          <w:u w:val="none"/>
        </w:rPr>
        <w:t xml:space="preserve">.” The FTC also stated that </w:t>
      </w:r>
      <w:r>
        <w:rPr>
          <w:b w:val="0"/>
          <w:i w:val="0"/>
          <w:smallCaps w:val="0"/>
          <w:strike w:val="0"/>
          <w:sz w:val="22"/>
          <w:u w:val="single"/>
        </w:rPr>
        <w:t>it</w:t>
      </w:r>
      <w:r>
        <w:rPr>
          <w:b w:val="0"/>
          <w:i w:val="0"/>
          <w:smallCaps w:val="0"/>
          <w:strike w:val="0"/>
          <w:sz w:val="16"/>
          <w:u w:val="none"/>
        </w:rPr>
        <w:t xml:space="preserve"> had </w:t>
      </w:r>
      <w:r>
        <w:rPr>
          <w:b w:val="0"/>
          <w:i w:val="0"/>
          <w:smallCaps w:val="0"/>
          <w:strike w:val="0"/>
          <w:sz w:val="22"/>
          <w:u w:val="single"/>
        </w:rPr>
        <w:t>submitted patent listing dispute letters</w:t>
      </w:r>
      <w:r>
        <w:rPr>
          <w:b w:val="0"/>
          <w:i w:val="0"/>
          <w:smallCaps w:val="0"/>
          <w:strike w:val="0"/>
          <w:sz w:val="16"/>
          <w:u w:val="none"/>
        </w:rPr>
        <w:t xml:space="preserve"> to the FDA </w:t>
      </w:r>
      <w:r>
        <w:rPr>
          <w:b w:val="0"/>
          <w:i w:val="0"/>
          <w:smallCaps w:val="0"/>
          <w:strike w:val="0"/>
          <w:sz w:val="22"/>
          <w:u w:val="single"/>
        </w:rPr>
        <w:t>challenging</w:t>
      </w:r>
      <w:r>
        <w:rPr>
          <w:b w:val="0"/>
          <w:i w:val="0"/>
          <w:smallCaps w:val="0"/>
          <w:strike w:val="0"/>
          <w:sz w:val="16"/>
          <w:u w:val="none"/>
        </w:rPr>
        <w:t xml:space="preserve"> the “</w:t>
      </w:r>
      <w:r>
        <w:rPr>
          <w:b w:val="0"/>
          <w:i w:val="0"/>
          <w:smallCaps w:val="0"/>
          <w:strike w:val="0"/>
          <w:sz w:val="22"/>
          <w:u w:val="single"/>
        </w:rPr>
        <w:t>accuracy or relevance of more than 300 Orange Book patent listings</w:t>
      </w:r>
      <w:r>
        <w:rPr>
          <w:b w:val="0"/>
          <w:i w:val="0"/>
          <w:smallCaps w:val="0"/>
          <w:strike w:val="0"/>
          <w:sz w:val="16"/>
          <w:u w:val="none"/>
        </w:rPr>
        <w:t xml:space="preserve"> across 20 different brand name products.” The FDA has publicly expressed its support for the FTC’s recent efforts in its press release.</w:t>
      </w:r>
    </w:p>
    <w:p>
      <w:pPr>
        <w:spacing w:after="60"/>
      </w:pPr>
      <w:r>
        <w:rPr>
          <w:b w:val="0"/>
          <w:i w:val="0"/>
          <w:smallCaps w:val="0"/>
          <w:strike w:val="0"/>
          <w:sz w:val="16"/>
          <w:u w:val="none"/>
        </w:rPr>
        <w:t>According to the FTC, warning letters were sent last week to companies manufacturing injectable obesity and type-2 diabetes drugs, asthma and COPD inhalers, and a nasal spray to treat severe hypoglycemia in type-1 diabetics. The patent listing dispute letters are confidential, and these patent listing disputes have not yet been listed on the FDA’s database.</w:t>
      </w:r>
    </w:p>
    <w:p>
      <w:pPr>
        <w:spacing w:after="60"/>
      </w:pPr>
      <w:r>
        <w:rPr>
          <w:b w:val="0"/>
          <w:i w:val="0"/>
          <w:smallCaps w:val="0"/>
          <w:strike w:val="0"/>
          <w:sz w:val="16"/>
          <w:u w:val="none"/>
        </w:rPr>
        <w:t xml:space="preserve">Branded drug manufacturers must continue to carefully evaluate their Orange Book patent listings for approved products and those with pending new drug applications (NDAs). As described in greater detail below, particular attention should be paid to any patents listed </w:t>
      </w:r>
      <w:r>
        <w:rPr>
          <w:b w:val="0"/>
          <w:i w:val="0"/>
          <w:smallCaps w:val="0"/>
          <w:strike w:val="0"/>
          <w:sz w:val="16"/>
          <w:u w:val="none"/>
        </w:rPr>
        <w:t>on the basis of</w:t>
      </w:r>
      <w:r>
        <w:rPr>
          <w:b w:val="0"/>
          <w:i w:val="0"/>
          <w:smallCaps w:val="0"/>
          <w:strike w:val="0"/>
          <w:sz w:val="16"/>
          <w:u w:val="none"/>
        </w:rPr>
        <w:t xml:space="preserve"> claims covering devices or device components of drug-device combination products.</w:t>
      </w:r>
    </w:p>
    <w:p>
      <w:pPr>
        <w:spacing w:after="60"/>
      </w:pPr>
      <w:r>
        <w:rPr>
          <w:b w:val="0"/>
          <w:i w:val="0"/>
          <w:smallCaps w:val="0"/>
          <w:strike w:val="0"/>
          <w:sz w:val="16"/>
          <w:u w:val="none"/>
        </w:rPr>
        <w:t>FTC Seemingly Focusing on Certain Patents Claiming Devices or Device Components</w:t>
      </w:r>
    </w:p>
    <w:p>
      <w:pPr>
        <w:spacing w:after="60"/>
      </w:pPr>
      <w:r>
        <w:rPr>
          <w:b w:val="0"/>
          <w:i w:val="0"/>
          <w:smallCaps w:val="0"/>
          <w:strike w:val="0"/>
          <w:sz w:val="16"/>
          <w:u w:val="none"/>
        </w:rPr>
        <w:t xml:space="preserve">The FTC’s patent listing dispute letters are not publicly available, and the published “warning letters” are silent on the legal basis for these challenges. Nevertheless, each of the patents identified by the FTC announcement is listed in the Orange Book as a “Drug Product” (DP) patent. Specifically, </w:t>
      </w:r>
      <w:r>
        <w:rPr>
          <w:b w:val="0"/>
          <w:i w:val="0"/>
          <w:smallCaps w:val="0"/>
          <w:strike w:val="0"/>
          <w:sz w:val="22"/>
          <w:highlight w:val="cyan"/>
          <w:u w:val="single"/>
        </w:rPr>
        <w:t>the FTC appears</w:t>
      </w:r>
      <w:r>
        <w:rPr>
          <w:b w:val="0"/>
          <w:i w:val="0"/>
          <w:smallCaps w:val="0"/>
          <w:strike w:val="0"/>
          <w:sz w:val="16"/>
          <w:highlight w:val="cyan"/>
          <w:u w:val="none"/>
        </w:rPr>
        <w:t xml:space="preserve"> to be </w:t>
      </w:r>
      <w:r>
        <w:rPr>
          <w:b w:val="0"/>
          <w:i w:val="0"/>
          <w:smallCaps w:val="0"/>
          <w:strike w:val="0"/>
          <w:sz w:val="22"/>
          <w:highlight w:val="cyan"/>
          <w:u w:val="single"/>
        </w:rPr>
        <w:t>focusing on patents that claim devices</w:t>
      </w:r>
      <w:r>
        <w:rPr>
          <w:b w:val="0"/>
          <w:i w:val="0"/>
          <w:smallCaps w:val="0"/>
          <w:strike w:val="0"/>
          <w:sz w:val="16"/>
          <w:u w:val="none"/>
        </w:rPr>
        <w:t xml:space="preserve">, or components of devices, listed in the Orange Book with drug-device combination products, </w:t>
      </w:r>
      <w:r>
        <w:rPr>
          <w:b w:val="0"/>
          <w:i w:val="0"/>
          <w:smallCaps w:val="0"/>
          <w:strike w:val="0"/>
          <w:sz w:val="22"/>
          <w:highlight w:val="cyan"/>
          <w:u w:val="single"/>
        </w:rPr>
        <w:t>such as inhalers or injectors</w:t>
      </w:r>
      <w:r>
        <w:rPr>
          <w:b w:val="0"/>
          <w:i w:val="0"/>
          <w:smallCaps w:val="0"/>
          <w:strike w:val="0"/>
          <w:sz w:val="16"/>
          <w:u w:val="none"/>
        </w:rPr>
        <w:t xml:space="preserve">. In particular, </w:t>
      </w:r>
      <w:r>
        <w:rPr>
          <w:b w:val="0"/>
          <w:i w:val="0"/>
          <w:smallCaps w:val="0"/>
          <w:strike w:val="0"/>
          <w:sz w:val="22"/>
          <w:highlight w:val="cyan"/>
          <w:u w:val="single"/>
        </w:rPr>
        <w:t>the FTC</w:t>
      </w:r>
      <w:r>
        <w:rPr>
          <w:b w:val="0"/>
          <w:i w:val="0"/>
          <w:smallCaps w:val="0"/>
          <w:strike w:val="0"/>
          <w:sz w:val="22"/>
          <w:u w:val="single"/>
        </w:rPr>
        <w:t xml:space="preserve"> appears to have </w:t>
      </w:r>
      <w:r>
        <w:rPr>
          <w:b w:val="0"/>
          <w:i w:val="0"/>
          <w:smallCaps w:val="0"/>
          <w:strike w:val="0"/>
          <w:sz w:val="22"/>
          <w:highlight w:val="cyan"/>
          <w:u w:val="single"/>
        </w:rPr>
        <w:t xml:space="preserve">challenged only patents that claim </w:t>
      </w:r>
      <w:r>
        <w:rPr>
          <w:b/>
          <w:i w:val="0"/>
          <w:smallCaps w:val="0"/>
          <w:strike w:val="0"/>
          <w:sz w:val="22"/>
          <w:highlight w:val="cyan"/>
          <w:u w:val="single"/>
        </w:rPr>
        <w:t>devices</w:t>
      </w:r>
      <w:r>
        <w:rPr>
          <w:b w:val="0"/>
          <w:i w:val="0"/>
          <w:smallCaps w:val="0"/>
          <w:strike w:val="0"/>
          <w:sz w:val="22"/>
          <w:highlight w:val="cyan"/>
          <w:u w:val="single"/>
        </w:rPr>
        <w:t xml:space="preserve"> or</w:t>
      </w:r>
      <w:r>
        <w:rPr>
          <w:b w:val="0"/>
          <w:i w:val="0"/>
          <w:smallCaps w:val="0"/>
          <w:strike w:val="0"/>
          <w:sz w:val="22"/>
          <w:u w:val="single"/>
        </w:rPr>
        <w:t xml:space="preserve"> </w:t>
      </w:r>
      <w:r>
        <w:rPr>
          <w:b/>
          <w:i w:val="0"/>
          <w:smallCaps w:val="0"/>
          <w:strike w:val="0"/>
          <w:sz w:val="22"/>
          <w:u w:val="single"/>
        </w:rPr>
        <w:t xml:space="preserve">device </w:t>
      </w:r>
      <w:r>
        <w:rPr>
          <w:b/>
          <w:i w:val="0"/>
          <w:smallCaps w:val="0"/>
          <w:strike w:val="0"/>
          <w:sz w:val="22"/>
          <w:highlight w:val="cyan"/>
          <w:u w:val="single"/>
        </w:rPr>
        <w:t>components</w:t>
      </w:r>
      <w:r>
        <w:rPr>
          <w:b w:val="0"/>
          <w:i w:val="0"/>
          <w:smallCaps w:val="0"/>
          <w:strike w:val="0"/>
          <w:sz w:val="22"/>
          <w:highlight w:val="cyan"/>
          <w:u w:val="single"/>
        </w:rPr>
        <w:t xml:space="preserve"> and</w:t>
      </w:r>
      <w:r>
        <w:rPr>
          <w:b w:val="0"/>
          <w:i w:val="0"/>
          <w:smallCaps w:val="0"/>
          <w:strike w:val="0"/>
          <w:sz w:val="22"/>
          <w:u w:val="single"/>
        </w:rPr>
        <w:t xml:space="preserve"> that do not disclose the approved active ingredient in the patent claims</w:t>
      </w:r>
      <w:r>
        <w:rPr>
          <w:b w:val="0"/>
          <w:i w:val="0"/>
          <w:smallCaps w:val="0"/>
          <w:strike w:val="0"/>
          <w:sz w:val="16"/>
          <w:u w:val="none"/>
        </w:rPr>
        <w:t>.</w:t>
      </w:r>
    </w:p>
    <w:p>
      <w:pPr>
        <w:spacing w:after="60"/>
      </w:pPr>
      <w:r>
        <w:rPr>
          <w:b w:val="0"/>
          <w:i w:val="0"/>
          <w:smallCaps w:val="0"/>
          <w:strike w:val="0"/>
          <w:sz w:val="16"/>
          <w:u w:val="none"/>
        </w:rPr>
        <w:t xml:space="preserve">The FTC made this point more explicitly in an amicus brief filed in March 2024, in which it asserted that </w:t>
      </w:r>
      <w:r>
        <w:rPr>
          <w:b w:val="0"/>
          <w:i w:val="0"/>
          <w:smallCaps w:val="0"/>
          <w:strike w:val="0"/>
          <w:sz w:val="22"/>
          <w:u w:val="single"/>
        </w:rPr>
        <w:t>“[</w:t>
      </w:r>
      <w:r>
        <w:rPr>
          <w:b w:val="0"/>
          <w:i w:val="0"/>
          <w:smallCaps w:val="0"/>
          <w:strike w:val="0"/>
          <w:sz w:val="22"/>
          <w:u w:val="single"/>
        </w:rPr>
        <w:t>i</w:t>
      </w:r>
      <w:r>
        <w:rPr>
          <w:b w:val="0"/>
          <w:i w:val="0"/>
          <w:smallCaps w:val="0"/>
          <w:strike w:val="0"/>
          <w:sz w:val="22"/>
          <w:u w:val="single"/>
        </w:rPr>
        <w:t xml:space="preserve">]n the FTC’s view, </w:t>
      </w:r>
      <w:r>
        <w:rPr>
          <w:b w:val="0"/>
          <w:i w:val="0"/>
          <w:smallCaps w:val="0"/>
          <w:strike w:val="0"/>
          <w:sz w:val="22"/>
          <w:highlight w:val="cyan"/>
          <w:u w:val="single"/>
        </w:rPr>
        <w:t xml:space="preserve">device patents that </w:t>
      </w:r>
      <w:r>
        <w:rPr>
          <w:b/>
          <w:i w:val="0"/>
          <w:smallCaps w:val="0"/>
          <w:strike w:val="0"/>
          <w:sz w:val="22"/>
          <w:highlight w:val="cyan"/>
          <w:u w:val="single"/>
        </w:rPr>
        <w:t>do not mention any drug</w:t>
      </w:r>
      <w:r>
        <w:rPr>
          <w:b w:val="0"/>
          <w:i w:val="0"/>
          <w:smallCaps w:val="0"/>
          <w:strike w:val="0"/>
          <w:sz w:val="22"/>
          <w:u w:val="single"/>
        </w:rPr>
        <w:t xml:space="preserve"> in their claims </w:t>
      </w:r>
      <w:r>
        <w:rPr>
          <w:b/>
          <w:i w:val="0"/>
          <w:smallCaps w:val="0"/>
          <w:strike w:val="0"/>
          <w:sz w:val="22"/>
          <w:highlight w:val="cyan"/>
          <w:u w:val="single"/>
        </w:rPr>
        <w:t>do not meet the statutory criteria</w:t>
      </w:r>
      <w:r>
        <w:rPr>
          <w:b w:val="0"/>
          <w:i w:val="0"/>
          <w:smallCaps w:val="0"/>
          <w:strike w:val="0"/>
          <w:sz w:val="22"/>
          <w:highlight w:val="cyan"/>
          <w:u w:val="single"/>
        </w:rPr>
        <w:t xml:space="preserve"> for</w:t>
      </w:r>
      <w:r>
        <w:rPr>
          <w:b w:val="0"/>
          <w:i w:val="0"/>
          <w:smallCaps w:val="0"/>
          <w:strike w:val="0"/>
          <w:sz w:val="22"/>
          <w:u w:val="single"/>
        </w:rPr>
        <w:t xml:space="preserve"> Orange Book </w:t>
      </w:r>
      <w:r>
        <w:rPr>
          <w:b w:val="0"/>
          <w:i w:val="0"/>
          <w:smallCaps w:val="0"/>
          <w:strike w:val="0"/>
          <w:sz w:val="22"/>
          <w:highlight w:val="cyan"/>
          <w:u w:val="single"/>
        </w:rPr>
        <w:t>listing</w:t>
      </w:r>
      <w:r>
        <w:rPr>
          <w:b w:val="0"/>
          <w:i w:val="0"/>
          <w:smallCaps w:val="0"/>
          <w:strike w:val="0"/>
          <w:sz w:val="22"/>
          <w:u w:val="single"/>
        </w:rPr>
        <w:t xml:space="preserve">, and </w:t>
      </w:r>
      <w:r>
        <w:rPr>
          <w:b w:val="0"/>
          <w:i w:val="0"/>
          <w:smallCaps w:val="0"/>
          <w:strike w:val="0"/>
          <w:sz w:val="22"/>
          <w:highlight w:val="cyan"/>
          <w:u w:val="single"/>
        </w:rPr>
        <w:t>a device patent</w:t>
      </w:r>
      <w:r>
        <w:rPr>
          <w:b w:val="0"/>
          <w:i w:val="0"/>
          <w:smallCaps w:val="0"/>
          <w:strike w:val="0"/>
          <w:sz w:val="22"/>
          <w:u w:val="single"/>
        </w:rPr>
        <w:t xml:space="preserve"> that is improperly listed in the Orange Book </w:t>
      </w:r>
      <w:r>
        <w:rPr>
          <w:b w:val="0"/>
          <w:i w:val="0"/>
          <w:smallCaps w:val="0"/>
          <w:strike w:val="0"/>
          <w:sz w:val="22"/>
          <w:highlight w:val="cyan"/>
          <w:u w:val="single"/>
        </w:rPr>
        <w:t xml:space="preserve">must be </w:t>
      </w:r>
      <w:r>
        <w:rPr>
          <w:b/>
          <w:i w:val="0"/>
          <w:smallCaps w:val="0"/>
          <w:strike w:val="0"/>
          <w:sz w:val="22"/>
          <w:highlight w:val="cyan"/>
          <w:u w:val="single"/>
        </w:rPr>
        <w:t>delisted</w:t>
      </w:r>
      <w:r>
        <w:rPr>
          <w:b w:val="0"/>
          <w:i w:val="0"/>
          <w:smallCaps w:val="0"/>
          <w:strike w:val="0"/>
          <w:sz w:val="16"/>
          <w:u w:val="none"/>
        </w:rPr>
        <w:t>.</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