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Foucault himself says even under a system of biopower, hope in the state and in the people is key to reforming this imprisonment, there is always action that can be done even if it is within the state. Even if the affirmative fails, it builds a way to breaking free. There is no margin of safety from control, so the alternative is in the same position as the state.</w:t>
      </w:r>
    </w:p>
    <w:p>
      <w:pPr>
        <w:spacing w:after="80"/>
      </w:pPr>
      <w:r>
        <w:rPr>
          <w:b/>
          <w:i w:val="0"/>
          <w:smallCaps w:val="0"/>
          <w:strike w:val="0"/>
          <w:sz w:val="26"/>
          <w:u w:val="none"/>
        </w:rPr>
        <w:t>Hannah, 11</w:t>
      </w:r>
      <w:r>
        <w:rPr>
          <w:b w:val="0"/>
          <w:i w:val="0"/>
          <w:smallCaps w:val="0"/>
          <w:strike w:val="0"/>
          <w:u w:val="none"/>
        </w:rPr>
        <w:t xml:space="preserve"> (Prof. Hannah has taught and conducted research for 20 years, first in the US (University of Vermont), then in the UK (Aberystwyth University), and, since September 2013, at the University of Bayreuth.  His </w:t>
      </w:r>
      <w:r>
        <w:rPr>
          <w:b w:val="0"/>
          <w:i w:val="0"/>
          <w:smallCaps w:val="0"/>
          <w:strike w:val="0"/>
          <w:u w:val="none"/>
        </w:rPr>
        <w:t>interests</w:t>
      </w:r>
      <w:r>
        <w:rPr>
          <w:b w:val="0"/>
          <w:i w:val="0"/>
          <w:smallCaps w:val="0"/>
          <w:strike w:val="0"/>
          <w:u w:val="none"/>
        </w:rPr>
        <w:t xml:space="preserve"> range across historical geography, political geography, critical human-geographic theory, and include regional specializations in the USA and Germany. Research projects carried out to date have revolved around two questions: (1) how geographically organised state knowledge (censuses, trade statistics, etc.) came to form a fundamental infrastructure for modern "arts of government", and, turning the first question around, (2) which sorts of spatial power relations have made possible (and what forms of resistance have hindered or altered) the development of such modern knowledge-infrastructures. These issues have been approached via a series of concrete empirical case studies: (1) a study of how the US Goverment attempted, during the 1870s, to re-shape spatial aspects of the lives of the Oglala Lakota ("Sioux"), </w:t>
      </w:r>
      <w:r>
        <w:rPr>
          <w:b w:val="0"/>
          <w:i w:val="0"/>
          <w:smallCaps w:val="0"/>
          <w:strike w:val="0"/>
          <w:u w:val="none"/>
        </w:rPr>
        <w:t>in order to</w:t>
      </w:r>
      <w:r>
        <w:rPr>
          <w:b w:val="0"/>
          <w:i w:val="0"/>
          <w:smallCaps w:val="0"/>
          <w:strike w:val="0"/>
          <w:u w:val="none"/>
        </w:rPr>
        <w:t xml:space="preserve"> render them "governable" in a modern Western sense, and of how the Lakota circumvented and ultimately steered the process. </w:t>
      </w:r>
      <w:r>
        <w:rPr>
          <w:b w:val="0"/>
          <w:i/>
          <w:smallCaps w:val="0"/>
          <w:strike w:val="0"/>
          <w:u w:val="none"/>
        </w:rPr>
        <w:t>Biopower, life and Left Politics</w:t>
      </w:r>
      <w:r>
        <w:rPr>
          <w:b w:val="0"/>
          <w:i w:val="0"/>
          <w:smallCaps w:val="0"/>
          <w:strike w:val="0"/>
          <w:u w:val="none"/>
        </w:rPr>
        <w:t xml:space="preserve"> pg. 144-147, 1/05/2011, accessed 7/31/24)//Ilake TY</w:t>
      </w:r>
    </w:p>
    <w:p>
      <w:pPr>
        <w:spacing w:after="60"/>
      </w:pPr>
      <w:r>
        <w:rPr>
          <w:b w:val="0"/>
          <w:i w:val="0"/>
          <w:smallCaps w:val="0"/>
          <w:strike w:val="0"/>
          <w:u w:val="none"/>
        </w:rPr>
        <w:t xml:space="preserve">James Weldon Johnson’s “Lift Ev’ry Voice and Sing,” originally penned to celebrate Abraham Lincoln’s birthday, eventually became known as the “Negro National Anthem.” </w:t>
      </w:r>
      <w:r>
        <w:rPr>
          <w:b w:val="0"/>
          <w:i w:val="0"/>
          <w:smallCaps w:val="0"/>
          <w:strike w:val="0"/>
          <w:sz w:val="22"/>
          <w:u w:val="single"/>
        </w:rPr>
        <w:t xml:space="preserve">The </w:t>
      </w:r>
      <w:r>
        <w:rPr>
          <w:b w:val="0"/>
          <w:i w:val="0"/>
          <w:smallCaps w:val="0"/>
          <w:strike w:val="0"/>
          <w:sz w:val="22"/>
          <w:highlight w:val="green"/>
          <w:u w:val="single"/>
        </w:rPr>
        <w:t>first stanza</w:t>
      </w:r>
      <w:r>
        <w:rPr>
          <w:b w:val="0"/>
          <w:i w:val="0"/>
          <w:smallCaps w:val="0"/>
          <w:strike w:val="0"/>
          <w:sz w:val="22"/>
          <w:u w:val="single"/>
        </w:rPr>
        <w:t xml:space="preserve">, which </w:t>
      </w:r>
      <w:r>
        <w:rPr>
          <w:b w:val="0"/>
          <w:i w:val="0"/>
          <w:smallCaps w:val="0"/>
          <w:strike w:val="0"/>
          <w:sz w:val="22"/>
          <w:highlight w:val="green"/>
          <w:u w:val="single"/>
        </w:rPr>
        <w:t>serves as the epigraph f</w:t>
      </w:r>
      <w:r>
        <w:rPr>
          <w:b w:val="0"/>
          <w:i w:val="0"/>
          <w:smallCaps w:val="0"/>
          <w:strike w:val="0"/>
          <w:sz w:val="22"/>
          <w:u w:val="single"/>
        </w:rPr>
        <w:t xml:space="preserve">or this chapter, </w:t>
      </w:r>
      <w:r>
        <w:rPr>
          <w:b w:val="0"/>
          <w:i w:val="0"/>
          <w:smallCaps w:val="0"/>
          <w:strike w:val="0"/>
          <w:sz w:val="22"/>
          <w:highlight w:val="green"/>
          <w:u w:val="single"/>
        </w:rPr>
        <w:t>reflects the joy and hope of</w:t>
      </w:r>
      <w:r>
        <w:rPr>
          <w:b w:val="0"/>
          <w:i w:val="0"/>
          <w:smallCaps w:val="0"/>
          <w:strike w:val="0"/>
          <w:sz w:val="22"/>
          <w:u w:val="single"/>
        </w:rPr>
        <w:t xml:space="preserve"> </w:t>
      </w:r>
      <w:r>
        <w:rPr>
          <w:b w:val="0"/>
          <w:i w:val="0"/>
          <w:smallCaps w:val="0"/>
          <w:strike w:val="0"/>
          <w:sz w:val="22"/>
          <w:highlight w:val="green"/>
          <w:u w:val="single"/>
        </w:rPr>
        <w:t>African Americans</w:t>
      </w:r>
      <w:r>
        <w:rPr>
          <w:b w:val="0"/>
          <w:i w:val="0"/>
          <w:smallCaps w:val="0"/>
          <w:strike w:val="0"/>
          <w:sz w:val="22"/>
          <w:u w:val="single"/>
        </w:rPr>
        <w:t xml:space="preserve"> </w:t>
      </w:r>
      <w:r>
        <w:rPr>
          <w:b w:val="0"/>
          <w:i w:val="0"/>
          <w:smallCaps w:val="0"/>
          <w:strike w:val="0"/>
          <w:sz w:val="22"/>
          <w:highlight w:val="green"/>
          <w:u w:val="single"/>
        </w:rPr>
        <w:t>even</w:t>
      </w:r>
      <w:r>
        <w:rPr>
          <w:b w:val="0"/>
          <w:i w:val="0"/>
          <w:smallCaps w:val="0"/>
          <w:strike w:val="0"/>
          <w:sz w:val="22"/>
          <w:u w:val="single"/>
        </w:rPr>
        <w:t xml:space="preserve"> </w:t>
      </w:r>
      <w:r>
        <w:rPr>
          <w:b w:val="0"/>
          <w:i w:val="0"/>
          <w:smallCaps w:val="0"/>
          <w:strike w:val="0"/>
          <w:sz w:val="22"/>
          <w:highlight w:val="green"/>
          <w:u w:val="single"/>
        </w:rPr>
        <w:t>though,</w:t>
      </w:r>
      <w:r>
        <w:rPr>
          <w:b w:val="0"/>
          <w:i w:val="0"/>
          <w:smallCaps w:val="0"/>
          <w:strike w:val="0"/>
          <w:sz w:val="22"/>
          <w:u w:val="single"/>
        </w:rPr>
        <w:t xml:space="preserve"> as indicated in the stanza’s final line, “</w:t>
      </w:r>
      <w:r>
        <w:rPr>
          <w:b w:val="0"/>
          <w:i w:val="0"/>
          <w:smallCaps w:val="0"/>
          <w:strike w:val="0"/>
          <w:sz w:val="22"/>
          <w:highlight w:val="green"/>
          <w:u w:val="single"/>
        </w:rPr>
        <w:t>victory” remains elusive</w:t>
      </w:r>
      <w:r>
        <w:rPr>
          <w:b w:val="0"/>
          <w:i w:val="0"/>
          <w:smallCaps w:val="0"/>
          <w:strike w:val="0"/>
          <w:sz w:val="22"/>
          <w:u w:val="single"/>
        </w:rPr>
        <w:t xml:space="preserve"> and the struggle for liberty continues. Johnson himself later took on the role of a national organizer for the NAACP. Yet, Johnson’s poem suggests that </w:t>
      </w:r>
      <w:r>
        <w:rPr>
          <w:b w:val="0"/>
          <w:i w:val="0"/>
          <w:smallCaps w:val="0"/>
          <w:strike w:val="0"/>
          <w:sz w:val="22"/>
          <w:highlight w:val="green"/>
          <w:u w:val="single"/>
        </w:rPr>
        <w:t xml:space="preserve">hope is not guaranteed. </w:t>
      </w:r>
      <w:r>
        <w:rPr>
          <w:b w:val="0"/>
          <w:i w:val="0"/>
          <w:smallCaps w:val="0"/>
          <w:strike w:val="0"/>
          <w:sz w:val="22"/>
          <w:u w:val="single"/>
        </w:rPr>
        <w:t>T</w:t>
      </w:r>
      <w:r>
        <w:rPr>
          <w:b w:val="0"/>
          <w:i w:val="0"/>
          <w:smallCaps w:val="0"/>
          <w:strike w:val="0"/>
          <w:u w:val="none"/>
        </w:rPr>
        <w:t>he</w:t>
      </w:r>
      <w:r>
        <w:rPr>
          <w:b w:val="0"/>
          <w:i w:val="0"/>
          <w:smallCaps w:val="0"/>
          <w:strike w:val="0"/>
          <w:u w:val="none"/>
        </w:rPr>
        <w:t xml:space="preserve"> second stanza revisits the days of slavery: “Bitter the chast’ning rod/Felt in the days when hope unborn had died” (Johnson 1900, 768–769). Johnson’s work vividly captures the tension between hope and despair that characterizes the African American experience shaped by slavery. This dialectical struggle between hope and despair similarly influenced the gay community’s responses to the AIDS crisis (a poignant example can be found in Shilts 1988/2007, 356–357). This ongoing struggle underpins my interpretation of Foucault’s work. I propose that this hope is central to what Foucault described as his “hyper- and pessimistic activism” (DE326.1, 232). </w:t>
      </w:r>
      <w:r>
        <w:rPr>
          <w:b w:val="0"/>
          <w:i w:val="0"/>
          <w:smallCaps w:val="0"/>
          <w:strike w:val="0"/>
          <w:sz w:val="22"/>
          <w:u w:val="single"/>
        </w:rPr>
        <w:t>As Foucault explains, “</w:t>
      </w:r>
      <w:r>
        <w:rPr>
          <w:b w:val="0"/>
          <w:i w:val="0"/>
          <w:smallCaps w:val="0"/>
          <w:strike w:val="0"/>
          <w:sz w:val="22"/>
          <w:highlight w:val="green"/>
          <w:u w:val="single"/>
        </w:rPr>
        <w:t xml:space="preserve">if everything is dangerous, then </w:t>
      </w:r>
      <w:r>
        <w:rPr>
          <w:b/>
          <w:i w:val="0"/>
          <w:smallCaps w:val="0"/>
          <w:strike w:val="0"/>
          <w:sz w:val="22"/>
          <w:highlight w:val="green"/>
          <w:u w:val="single"/>
        </w:rPr>
        <w:t>we always have something to do</w:t>
      </w:r>
      <w:r>
        <w:rPr>
          <w:b w:val="0"/>
          <w:i w:val="0"/>
          <w:smallCaps w:val="0"/>
          <w:strike w:val="0"/>
          <w:sz w:val="22"/>
          <w:highlight w:val="green"/>
          <w:u w:val="single"/>
        </w:rPr>
        <w:t>”</w:t>
      </w:r>
      <w:r>
        <w:rPr>
          <w:b w:val="0"/>
          <w:i w:val="0"/>
          <w:smallCaps w:val="0"/>
          <w:strike w:val="0"/>
          <w:sz w:val="22"/>
          <w:u w:val="single"/>
        </w:rPr>
        <w:t xml:space="preserve"> (DE326.1, 231–232). </w:t>
      </w:r>
      <w:r>
        <w:rPr>
          <w:b w:val="0"/>
          <w:i w:val="0"/>
          <w:smallCaps w:val="0"/>
          <w:strike w:val="0"/>
          <w:sz w:val="22"/>
          <w:highlight w:val="green"/>
          <w:u w:val="single"/>
        </w:rPr>
        <w:t>Without hope,</w:t>
      </w:r>
      <w:r>
        <w:rPr>
          <w:b w:val="0"/>
          <w:i w:val="0"/>
          <w:smallCaps w:val="0"/>
          <w:strike w:val="0"/>
          <w:sz w:val="22"/>
          <w:u w:val="single"/>
        </w:rPr>
        <w:t xml:space="preserve"> </w:t>
      </w:r>
      <w:r>
        <w:rPr>
          <w:b w:val="0"/>
          <w:i w:val="0"/>
          <w:smallCaps w:val="0"/>
          <w:strike w:val="0"/>
          <w:sz w:val="22"/>
          <w:highlight w:val="green"/>
          <w:u w:val="single"/>
        </w:rPr>
        <w:t>why would we engage</w:t>
      </w:r>
      <w:r>
        <w:rPr>
          <w:b w:val="0"/>
          <w:i w:val="0"/>
          <w:smallCaps w:val="0"/>
          <w:strike w:val="0"/>
          <w:sz w:val="22"/>
          <w:u w:val="single"/>
        </w:rPr>
        <w:t xml:space="preserve"> in any activity at all?</w:t>
      </w:r>
    </w:p>
    <w:p>
      <w:pPr>
        <w:spacing w:after="60"/>
      </w:pPr>
      <w:r>
        <w:rPr>
          <w:b w:val="0"/>
          <w:i w:val="0"/>
          <w:smallCaps w:val="0"/>
          <w:strike w:val="0"/>
          <w:sz w:val="22"/>
          <w:u w:val="single"/>
        </w:rPr>
        <w:t xml:space="preserve">I have sought to demonstrate that this hope resonates throughout Foucault’s work. It is </w:t>
      </w:r>
      <w:r>
        <w:rPr>
          <w:b w:val="0"/>
          <w:i w:val="0"/>
          <w:smallCaps w:val="0"/>
          <w:strike w:val="0"/>
          <w:sz w:val="22"/>
          <w:highlight w:val="green"/>
          <w:u w:val="single"/>
        </w:rPr>
        <w:t>even apparent</w:t>
      </w:r>
      <w:r>
        <w:rPr>
          <w:b w:val="0"/>
          <w:i w:val="0"/>
          <w:smallCaps w:val="0"/>
          <w:strike w:val="0"/>
          <w:sz w:val="22"/>
          <w:u w:val="single"/>
        </w:rPr>
        <w:t xml:space="preserve"> in the concluding lines of Discipline and Punish, </w:t>
      </w:r>
      <w:r>
        <w:rPr>
          <w:b w:val="0"/>
          <w:i w:val="0"/>
          <w:smallCaps w:val="0"/>
          <w:strike w:val="0"/>
          <w:sz w:val="22"/>
          <w:highlight w:val="green"/>
          <w:u w:val="single"/>
        </w:rPr>
        <w:t>where Foucault presents a seemingly bleak depiction of our society</w:t>
      </w:r>
      <w:r>
        <w:rPr>
          <w:b w:val="0"/>
          <w:i w:val="0"/>
          <w:smallCaps w:val="0"/>
          <w:strike w:val="0"/>
          <w:sz w:val="22"/>
          <w:u w:val="single"/>
        </w:rPr>
        <w:t xml:space="preserve">: “In this central and centralized humanity, the effect and instrument of complex power relations, </w:t>
      </w:r>
      <w:r>
        <w:rPr>
          <w:b w:val="0"/>
          <w:i w:val="0"/>
          <w:smallCaps w:val="0"/>
          <w:strike w:val="0"/>
          <w:sz w:val="22"/>
          <w:highlight w:val="green"/>
          <w:u w:val="single"/>
        </w:rPr>
        <w:t>bodies and forces subjected by multiple mechanisms of ‘incarceration</w:t>
      </w:r>
      <w:r>
        <w:rPr>
          <w:b w:val="0"/>
          <w:i w:val="0"/>
          <w:smallCaps w:val="0"/>
          <w:strike w:val="0"/>
          <w:sz w:val="22"/>
          <w:u w:val="single"/>
        </w:rPr>
        <w:t>,’ objects for discourses that are in themselves elements for this strategy, we must hear the distant roar of battle” (1975ET, 308</w:t>
      </w:r>
      <w:r>
        <w:rPr>
          <w:b w:val="0"/>
          <w:i w:val="0"/>
          <w:smallCaps w:val="0"/>
          <w:strike w:val="0"/>
          <w:u w:val="none"/>
        </w:rPr>
        <w:t>). After this portrayal of humanity as bodies trapped in an intricate system of incarceration, how should we interpret the final phrase (indeed, the main clause) of this sentence: “we must hear the distant roar of battle”? I believe it signals hope: this grim depiction is not meant to induce despair but to mobilize efforts for an approaching battle—one that could bring about new ways of relating to others and to ourselves. Foucault’s initial ethical focus in 1976 was on viewing these bodies and their pleasures as sites of resistance against these imprisoning forms of power.</w:t>
      </w:r>
    </w:p>
    <w:p>
      <w:pPr>
        <w:spacing w:after="60"/>
      </w:pPr>
      <w:r>
        <w:rPr>
          <w:b w:val="0"/>
          <w:i w:val="0"/>
          <w:smallCaps w:val="0"/>
          <w:strike w:val="0"/>
          <w:u w:val="none"/>
        </w:rPr>
        <w:t xml:space="preserve">A contrasting example that poignantly embodies the hopeful spirit of Foucault’s assertion that “we always have something to do” is found in Jules Tygiel’s 1997 “Afterword” to his 1983 history of Jackie Robinson and baseball integration. </w:t>
      </w:r>
      <w:r>
        <w:rPr>
          <w:b w:val="0"/>
          <w:i w:val="0"/>
          <w:smallCaps w:val="0"/>
          <w:strike w:val="0"/>
          <w:sz w:val="22"/>
          <w:u w:val="single"/>
        </w:rPr>
        <w:t xml:space="preserve">Tygiel writes: “We remain </w:t>
      </w:r>
      <w:r>
        <w:rPr>
          <w:b w:val="0"/>
          <w:i w:val="0"/>
          <w:smallCaps w:val="0"/>
          <w:strike w:val="0"/>
          <w:sz w:val="22"/>
          <w:highlight w:val="green"/>
          <w:u w:val="single"/>
        </w:rPr>
        <w:t>engrossed in the great social experiment</w:t>
      </w:r>
      <w:r>
        <w:rPr>
          <w:b w:val="0"/>
          <w:i w:val="0"/>
          <w:smallCaps w:val="0"/>
          <w:strike w:val="0"/>
          <w:sz w:val="22"/>
          <w:u w:val="single"/>
        </w:rPr>
        <w:t xml:space="preserve"> that he [Jackie Robinson] began. But, </w:t>
      </w:r>
      <w:r>
        <w:rPr>
          <w:b w:val="0"/>
          <w:i w:val="0"/>
          <w:smallCaps w:val="0"/>
          <w:strike w:val="0"/>
          <w:sz w:val="22"/>
          <w:highlight w:val="green"/>
          <w:u w:val="single"/>
        </w:rPr>
        <w:t>as with all incomplete experiments</w:t>
      </w:r>
      <w:r>
        <w:rPr>
          <w:b w:val="0"/>
          <w:i w:val="0"/>
          <w:smallCaps w:val="0"/>
          <w:strike w:val="0"/>
          <w:sz w:val="22"/>
          <w:u w:val="single"/>
        </w:rPr>
        <w:t xml:space="preserve">, we </w:t>
      </w:r>
      <w:r>
        <w:rPr>
          <w:b w:val="0"/>
          <w:i w:val="0"/>
          <w:smallCaps w:val="0"/>
          <w:strike w:val="0"/>
          <w:sz w:val="22"/>
          <w:highlight w:val="green"/>
          <w:u w:val="single"/>
        </w:rPr>
        <w:t>must</w:t>
      </w:r>
      <w:r>
        <w:rPr>
          <w:b w:val="0"/>
          <w:i w:val="0"/>
          <w:smallCaps w:val="0"/>
          <w:strike w:val="0"/>
          <w:sz w:val="22"/>
          <w:u w:val="single"/>
        </w:rPr>
        <w:t xml:space="preserve"> periodically </w:t>
      </w:r>
      <w:r>
        <w:rPr>
          <w:b w:val="0"/>
          <w:i w:val="0"/>
          <w:smallCaps w:val="0"/>
          <w:strike w:val="0"/>
          <w:sz w:val="22"/>
          <w:highlight w:val="green"/>
          <w:u w:val="single"/>
        </w:rPr>
        <w:t>reassess its progress and reinvigorate its promise</w:t>
      </w:r>
      <w:r>
        <w:rPr>
          <w:b w:val="0"/>
          <w:i w:val="0"/>
          <w:smallCaps w:val="0"/>
          <w:strike w:val="0"/>
          <w:sz w:val="22"/>
          <w:u w:val="single"/>
        </w:rPr>
        <w:t xml:space="preserve">. We must </w:t>
      </w:r>
      <w:r>
        <w:rPr>
          <w:b w:val="0"/>
          <w:i w:val="0"/>
          <w:smallCaps w:val="0"/>
          <w:strike w:val="0"/>
          <w:sz w:val="22"/>
          <w:highlight w:val="green"/>
          <w:u w:val="single"/>
        </w:rPr>
        <w:t>reinforce</w:t>
      </w:r>
      <w:r>
        <w:rPr>
          <w:b w:val="0"/>
          <w:i w:val="0"/>
          <w:smallCaps w:val="0"/>
          <w:strike w:val="0"/>
          <w:sz w:val="22"/>
          <w:u w:val="single"/>
        </w:rPr>
        <w:t xml:space="preserve"> those </w:t>
      </w:r>
      <w:r>
        <w:rPr>
          <w:b w:val="0"/>
          <w:i w:val="0"/>
          <w:smallCaps w:val="0"/>
          <w:strike w:val="0"/>
          <w:sz w:val="22"/>
          <w:highlight w:val="green"/>
          <w:u w:val="single"/>
        </w:rPr>
        <w:t>strategies</w:t>
      </w:r>
      <w:r>
        <w:rPr>
          <w:b w:val="0"/>
          <w:i w:val="0"/>
          <w:smallCaps w:val="0"/>
          <w:strike w:val="0"/>
          <w:sz w:val="22"/>
          <w:u w:val="single"/>
        </w:rPr>
        <w:t xml:space="preserve"> that work, reject those that have failed, and assay new initiatives” (Tygiel 1997, 355). This process—of </w:t>
      </w:r>
      <w:r>
        <w:rPr>
          <w:b w:val="0"/>
          <w:i w:val="0"/>
          <w:smallCaps w:val="0"/>
          <w:strike w:val="0"/>
          <w:sz w:val="22"/>
          <w:highlight w:val="green"/>
          <w:u w:val="single"/>
        </w:rPr>
        <w:t>reassessment and revitalization</w:t>
      </w:r>
      <w:r>
        <w:rPr>
          <w:b w:val="0"/>
          <w:i w:val="0"/>
          <w:smallCaps w:val="0"/>
          <w:strike w:val="0"/>
          <w:sz w:val="22"/>
          <w:u w:val="single"/>
        </w:rPr>
        <w:t>, reinforcement and rejection, and initiating anew—</w:t>
      </w:r>
      <w:r>
        <w:rPr>
          <w:b w:val="0"/>
          <w:i w:val="0"/>
          <w:smallCaps w:val="0"/>
          <w:strike w:val="0"/>
          <w:sz w:val="22"/>
          <w:highlight w:val="green"/>
          <w:u w:val="single"/>
        </w:rPr>
        <w:t>is the critical work that follows from Foucault’s idea</w:t>
      </w:r>
      <w:r>
        <w:rPr>
          <w:b w:val="0"/>
          <w:i w:val="0"/>
          <w:smallCaps w:val="0"/>
          <w:strike w:val="0"/>
          <w:sz w:val="22"/>
          <w:u w:val="single"/>
        </w:rPr>
        <w:t xml:space="preserve"> that everything is dangerous and that we always have tasks to undertake</w:t>
      </w:r>
      <w:r>
        <w:rPr>
          <w:b w:val="0"/>
          <w:i w:val="0"/>
          <w:smallCaps w:val="0"/>
          <w:strike w:val="0"/>
          <w:u w:val="none"/>
        </w:rPr>
        <w:t>. Tygiel continues: “The Jackie Robinson saga, whether in myth or reality, has always appealed to ‘the better angels of our nature.’</w:t>
      </w:r>
      <w:r>
        <w:rPr>
          <w:b w:val="0"/>
          <w:i w:val="0"/>
          <w:smallCaps w:val="0"/>
          <w:strike w:val="0"/>
          <w:sz w:val="22"/>
          <w:u w:val="single"/>
        </w:rPr>
        <w:t xml:space="preserve"> Today, </w:t>
      </w:r>
      <w:r>
        <w:rPr>
          <w:b w:val="0"/>
          <w:i w:val="0"/>
          <w:smallCaps w:val="0"/>
          <w:strike w:val="0"/>
          <w:sz w:val="22"/>
          <w:highlight w:val="green"/>
          <w:u w:val="single"/>
        </w:rPr>
        <w:t>fifty years after</w:t>
      </w:r>
      <w:r>
        <w:rPr>
          <w:b w:val="0"/>
          <w:i w:val="0"/>
          <w:smallCaps w:val="0"/>
          <w:strike w:val="0"/>
          <w:sz w:val="22"/>
          <w:u w:val="single"/>
        </w:rPr>
        <w:t xml:space="preserve"> he first graced us with his pride, his </w:t>
      </w:r>
      <w:r>
        <w:rPr>
          <w:b w:val="0"/>
          <w:i w:val="0"/>
          <w:smallCaps w:val="0"/>
          <w:strike w:val="0"/>
          <w:sz w:val="22"/>
          <w:highlight w:val="green"/>
          <w:u w:val="single"/>
        </w:rPr>
        <w:t>courage</w:t>
      </w:r>
      <w:r>
        <w:rPr>
          <w:b w:val="0"/>
          <w:i w:val="0"/>
          <w:smallCaps w:val="0"/>
          <w:strike w:val="0"/>
          <w:sz w:val="22"/>
          <w:u w:val="single"/>
        </w:rPr>
        <w:t xml:space="preserve">, his </w:t>
      </w:r>
      <w:r>
        <w:rPr>
          <w:b w:val="0"/>
          <w:i w:val="0"/>
          <w:smallCaps w:val="0"/>
          <w:strike w:val="0"/>
          <w:sz w:val="22"/>
          <w:highlight w:val="green"/>
          <w:u w:val="single"/>
        </w:rPr>
        <w:t>passion</w:t>
      </w:r>
      <w:r>
        <w:rPr>
          <w:b w:val="0"/>
          <w:i w:val="0"/>
          <w:smallCaps w:val="0"/>
          <w:strike w:val="0"/>
          <w:sz w:val="22"/>
          <w:u w:val="single"/>
        </w:rPr>
        <w:t xml:space="preserve">, and his vision, our nation, </w:t>
      </w:r>
      <w:r>
        <w:rPr>
          <w:b w:val="0"/>
          <w:i w:val="0"/>
          <w:smallCaps w:val="0"/>
          <w:strike w:val="0"/>
          <w:sz w:val="22"/>
          <w:highlight w:val="green"/>
          <w:u w:val="single"/>
        </w:rPr>
        <w:t>amidst our current failures, disappointments</w:t>
      </w:r>
      <w:r>
        <w:rPr>
          <w:b w:val="0"/>
          <w:i w:val="0"/>
          <w:smallCaps w:val="0"/>
          <w:strike w:val="0"/>
          <w:sz w:val="22"/>
          <w:u w:val="single"/>
        </w:rPr>
        <w:t xml:space="preserve">, and dispiriting political drift, </w:t>
      </w:r>
      <w:r>
        <w:rPr>
          <w:b w:val="0"/>
          <w:i w:val="0"/>
          <w:smallCaps w:val="0"/>
          <w:strike w:val="0"/>
          <w:sz w:val="22"/>
          <w:highlight w:val="green"/>
          <w:u w:val="single"/>
        </w:rPr>
        <w:t>has yet to produce a more compelling</w:t>
      </w:r>
      <w:r>
        <w:rPr>
          <w:b w:val="0"/>
          <w:i w:val="0"/>
          <w:smallCaps w:val="0"/>
          <w:strike w:val="0"/>
          <w:sz w:val="22"/>
          <w:u w:val="single"/>
        </w:rPr>
        <w:t xml:space="preserve"> </w:t>
      </w:r>
      <w:r>
        <w:rPr>
          <w:b w:val="0"/>
          <w:i w:val="0"/>
          <w:smallCaps w:val="0"/>
          <w:strike w:val="0"/>
          <w:sz w:val="22"/>
          <w:highlight w:val="green"/>
          <w:u w:val="single"/>
        </w:rPr>
        <w:t>prophecy of a just</w:t>
      </w:r>
      <w:r>
        <w:rPr>
          <w:b w:val="0"/>
          <w:i w:val="0"/>
          <w:smallCaps w:val="0"/>
          <w:strike w:val="0"/>
          <w:sz w:val="22"/>
          <w:u w:val="single"/>
        </w:rPr>
        <w:t xml:space="preserve">, interracial </w:t>
      </w:r>
      <w:r>
        <w:rPr>
          <w:b w:val="0"/>
          <w:i w:val="0"/>
          <w:smallCaps w:val="0"/>
          <w:strike w:val="0"/>
          <w:sz w:val="22"/>
          <w:highlight w:val="green"/>
          <w:u w:val="single"/>
        </w:rPr>
        <w:t>society</w:t>
      </w:r>
      <w:r>
        <w:rPr>
          <w:b w:val="0"/>
          <w:i w:val="0"/>
          <w:smallCaps w:val="0"/>
          <w:strike w:val="0"/>
          <w:sz w:val="22"/>
          <w:u w:val="single"/>
        </w:rPr>
        <w:t xml:space="preserve"> than that which we envision when we invoke the memory of Jackie Robinson” (Tygiel 1997, 355). Tygiel’s point is that </w:t>
      </w:r>
      <w:r>
        <w:rPr>
          <w:b w:val="0"/>
          <w:i w:val="0"/>
          <w:smallCaps w:val="0"/>
          <w:strike w:val="0"/>
          <w:sz w:val="22"/>
          <w:highlight w:val="green"/>
          <w:u w:val="single"/>
        </w:rPr>
        <w:t>despite our present shortcomings</w:t>
      </w:r>
      <w:r>
        <w:rPr>
          <w:b w:val="0"/>
          <w:i w:val="0"/>
          <w:smallCaps w:val="0"/>
          <w:strike w:val="0"/>
          <w:sz w:val="22"/>
          <w:u w:val="single"/>
        </w:rPr>
        <w:t xml:space="preserve">, Jackie </w:t>
      </w:r>
      <w:r>
        <w:rPr>
          <w:b w:val="0"/>
          <w:i w:val="0"/>
          <w:smallCaps w:val="0"/>
          <w:strike w:val="0"/>
          <w:sz w:val="22"/>
          <w:highlight w:val="green"/>
          <w:u w:val="single"/>
        </w:rPr>
        <w:t>Robinson’s story continues to inspire hope</w:t>
      </w:r>
      <w:r>
        <w:rPr>
          <w:b w:val="0"/>
          <w:i w:val="0"/>
          <w:smallCaps w:val="0"/>
          <w:strike w:val="0"/>
          <w:sz w:val="22"/>
          <w:u w:val="single"/>
        </w:rPr>
        <w:t>.</w:t>
      </w:r>
      <w:r>
        <w:rPr>
          <w:b w:val="0"/>
          <w:i w:val="0"/>
          <w:smallCaps w:val="0"/>
          <w:strike w:val="0"/>
          <w:u w:val="none"/>
        </w:rPr>
        <w:t xml:space="preserve"> (One might reasonably question the relevance of citing a baseball player here; however, Jackie Robinson’s experience illustrated the everyday face of resistance and the multiple layers of racism he navigated.)</w:t>
      </w:r>
    </w:p>
    <w:p>
      <w:pPr>
        <w:spacing w:after="60"/>
      </w:pPr>
      <w:r>
        <w:rPr>
          <w:b w:val="0"/>
          <w:i w:val="0"/>
          <w:smallCaps w:val="0"/>
          <w:strike w:val="0"/>
          <w:u w:val="none"/>
        </w:rPr>
        <w:t xml:space="preserve">Foucault explicitly addressed the role of hope in an unpublished April 1983 interview. </w:t>
      </w:r>
      <w:r>
        <w:rPr>
          <w:b w:val="0"/>
          <w:i w:val="0"/>
          <w:smallCaps w:val="0"/>
          <w:strike w:val="0"/>
          <w:sz w:val="22"/>
          <w:u w:val="single"/>
        </w:rPr>
        <w:t xml:space="preserve">When Leo </w:t>
      </w:r>
      <w:r>
        <w:rPr>
          <w:b w:val="0"/>
          <w:i w:val="0"/>
          <w:smallCaps w:val="0"/>
          <w:strike w:val="0"/>
          <w:sz w:val="22"/>
          <w:highlight w:val="green"/>
          <w:u w:val="single"/>
        </w:rPr>
        <w:t>Löwenthal challenged</w:t>
      </w:r>
      <w:r>
        <w:rPr>
          <w:b w:val="0"/>
          <w:i w:val="0"/>
          <w:smallCaps w:val="0"/>
          <w:strike w:val="0"/>
          <w:sz w:val="22"/>
          <w:u w:val="single"/>
        </w:rPr>
        <w:t xml:space="preserve"> Foucault by noting, “I [Löwenthal] </w:t>
      </w:r>
      <w:r>
        <w:rPr>
          <w:b w:val="0"/>
          <w:i w:val="0"/>
          <w:smallCaps w:val="0"/>
          <w:strike w:val="0"/>
          <w:sz w:val="22"/>
          <w:highlight w:val="green"/>
          <w:u w:val="single"/>
        </w:rPr>
        <w:t>cannot discover</w:t>
      </w:r>
      <w:r>
        <w:rPr>
          <w:b w:val="0"/>
          <w:i w:val="0"/>
          <w:smallCaps w:val="0"/>
          <w:strike w:val="0"/>
          <w:sz w:val="22"/>
          <w:u w:val="single"/>
        </w:rPr>
        <w:t xml:space="preserve"> thus far in your [Foucault’s] argumentation about distrust </w:t>
      </w:r>
      <w:r>
        <w:rPr>
          <w:b w:val="0"/>
          <w:i w:val="0"/>
          <w:smallCaps w:val="0"/>
          <w:strike w:val="0"/>
          <w:sz w:val="22"/>
          <w:highlight w:val="green"/>
          <w:u w:val="single"/>
        </w:rPr>
        <w:t>any</w:t>
      </w:r>
      <w:r>
        <w:rPr>
          <w:b w:val="0"/>
          <w:i w:val="0"/>
          <w:smallCaps w:val="0"/>
          <w:strike w:val="0"/>
          <w:sz w:val="22"/>
          <w:u w:val="single"/>
        </w:rPr>
        <w:t xml:space="preserve"> kind of theoretically argued </w:t>
      </w:r>
      <w:r>
        <w:rPr>
          <w:b w:val="0"/>
          <w:i w:val="0"/>
          <w:smallCaps w:val="0"/>
          <w:strike w:val="0"/>
          <w:sz w:val="22"/>
          <w:highlight w:val="green"/>
          <w:u w:val="single"/>
        </w:rPr>
        <w:t>possibility to overcome this hopelessness</w:t>
      </w:r>
      <w:r>
        <w:rPr>
          <w:b w:val="0"/>
          <w:i w:val="0"/>
          <w:smallCaps w:val="0"/>
          <w:strike w:val="0"/>
          <w:sz w:val="22"/>
          <w:u w:val="single"/>
        </w:rPr>
        <w:t>, this defeatism, this distrust”</w:t>
      </w:r>
      <w:r>
        <w:rPr>
          <w:b w:val="0"/>
          <w:i w:val="0"/>
          <w:smallCaps w:val="0"/>
          <w:strike w:val="0"/>
          <w:u w:val="none"/>
        </w:rPr>
        <w:t xml:space="preserve"> (BdSD250[07], 10), Foucault responded: </w:t>
      </w:r>
      <w:r>
        <w:rPr>
          <w:b w:val="0"/>
          <w:i w:val="0"/>
          <w:smallCaps w:val="0"/>
          <w:strike w:val="0"/>
          <w:sz w:val="22"/>
          <w:u w:val="single"/>
        </w:rPr>
        <w:t>“I d</w:t>
      </w:r>
      <w:r>
        <w:rPr>
          <w:b w:val="0"/>
          <w:i w:val="0"/>
          <w:smallCaps w:val="0"/>
          <w:strike w:val="0"/>
          <w:sz w:val="22"/>
          <w:highlight w:val="green"/>
          <w:u w:val="single"/>
        </w:rPr>
        <w:t>on’t think</w:t>
      </w:r>
      <w:r>
        <w:rPr>
          <w:b w:val="0"/>
          <w:i w:val="0"/>
          <w:smallCaps w:val="0"/>
          <w:strike w:val="0"/>
          <w:sz w:val="22"/>
          <w:u w:val="single"/>
        </w:rPr>
        <w:t xml:space="preserve"> that </w:t>
      </w:r>
      <w:r>
        <w:rPr>
          <w:b w:val="0"/>
          <w:i w:val="0"/>
          <w:smallCaps w:val="0"/>
          <w:strike w:val="0"/>
          <w:sz w:val="22"/>
          <w:highlight w:val="green"/>
          <w:u w:val="single"/>
        </w:rPr>
        <w:t>to be suspicious means</w:t>
      </w:r>
      <w:r>
        <w:rPr>
          <w:b w:val="0"/>
          <w:i w:val="0"/>
          <w:smallCaps w:val="0"/>
          <w:strike w:val="0"/>
          <w:sz w:val="22"/>
          <w:u w:val="single"/>
        </w:rPr>
        <w:t xml:space="preserve"> that you </w:t>
      </w:r>
      <w:r>
        <w:rPr>
          <w:b w:val="0"/>
          <w:i w:val="0"/>
          <w:smallCaps w:val="0"/>
          <w:strike w:val="0"/>
          <w:sz w:val="22"/>
          <w:highlight w:val="green"/>
          <w:u w:val="single"/>
        </w:rPr>
        <w:t>don’t have</w:t>
      </w:r>
      <w:r>
        <w:rPr>
          <w:b w:val="0"/>
          <w:i w:val="0"/>
          <w:smallCaps w:val="0"/>
          <w:strike w:val="0"/>
          <w:sz w:val="22"/>
          <w:u w:val="single"/>
        </w:rPr>
        <w:t xml:space="preserve"> any </w:t>
      </w:r>
      <w:r>
        <w:rPr>
          <w:b w:val="0"/>
          <w:i w:val="0"/>
          <w:smallCaps w:val="0"/>
          <w:strike w:val="0"/>
          <w:sz w:val="22"/>
          <w:highlight w:val="green"/>
          <w:u w:val="single"/>
        </w:rPr>
        <w:t>hope</w:t>
      </w:r>
      <w:r>
        <w:rPr>
          <w:b w:val="0"/>
          <w:i w:val="0"/>
          <w:smallCaps w:val="0"/>
          <w:strike w:val="0"/>
          <w:sz w:val="22"/>
          <w:u w:val="single"/>
        </w:rPr>
        <w:t xml:space="preserve">. Despair and hopelessness are one thing; suspicion is another. And if you are </w:t>
      </w:r>
      <w:r>
        <w:rPr>
          <w:b w:val="0"/>
          <w:i w:val="0"/>
          <w:smallCaps w:val="0"/>
          <w:strike w:val="0"/>
          <w:sz w:val="22"/>
          <w:highlight w:val="green"/>
          <w:u w:val="single"/>
        </w:rPr>
        <w:t>suspicious</w:t>
      </w:r>
      <w:r>
        <w:rPr>
          <w:b w:val="0"/>
          <w:i w:val="0"/>
          <w:smallCaps w:val="0"/>
          <w:strike w:val="0"/>
          <w:sz w:val="22"/>
          <w:u w:val="single"/>
        </w:rPr>
        <w:t xml:space="preserve">, it is </w:t>
      </w:r>
      <w:r>
        <w:rPr>
          <w:b w:val="0"/>
          <w:i w:val="0"/>
          <w:smallCaps w:val="0"/>
          <w:strike w:val="0"/>
          <w:sz w:val="22"/>
          <w:highlight w:val="green"/>
          <w:u w:val="single"/>
        </w:rPr>
        <w:t>because</w:t>
      </w:r>
      <w:r>
        <w:rPr>
          <w:b w:val="0"/>
          <w:i w:val="0"/>
          <w:smallCaps w:val="0"/>
          <w:strike w:val="0"/>
          <w:sz w:val="22"/>
          <w:u w:val="single"/>
        </w:rPr>
        <w:t xml:space="preserve">, of course, you have a certain </w:t>
      </w:r>
      <w:r>
        <w:rPr>
          <w:b w:val="0"/>
          <w:i w:val="0"/>
          <w:smallCaps w:val="0"/>
          <w:strike w:val="0"/>
          <w:sz w:val="22"/>
          <w:highlight w:val="green"/>
          <w:u w:val="single"/>
        </w:rPr>
        <w:t>hope</w:t>
      </w:r>
      <w:r>
        <w:rPr>
          <w:b w:val="0"/>
          <w:i w:val="0"/>
          <w:smallCaps w:val="0"/>
          <w:strike w:val="0"/>
          <w:sz w:val="22"/>
          <w:u w:val="single"/>
        </w:rPr>
        <w:t xml:space="preserve">. The problem is to know </w:t>
      </w:r>
      <w:r>
        <w:rPr>
          <w:b w:val="0"/>
          <w:i w:val="0"/>
          <w:smallCaps w:val="0"/>
          <w:strike w:val="0"/>
          <w:sz w:val="22"/>
          <w:highlight w:val="green"/>
          <w:u w:val="single"/>
        </w:rPr>
        <w:t>which kind of hope</w:t>
      </w:r>
      <w:r>
        <w:rPr>
          <w:b w:val="0"/>
          <w:i w:val="0"/>
          <w:smallCaps w:val="0"/>
          <w:strike w:val="0"/>
          <w:sz w:val="22"/>
          <w:u w:val="single"/>
        </w:rPr>
        <w:t xml:space="preserve"> you have, and </w:t>
      </w:r>
      <w:r>
        <w:rPr>
          <w:b w:val="0"/>
          <w:i w:val="0"/>
          <w:smallCaps w:val="0"/>
          <w:strike w:val="0"/>
          <w:sz w:val="22"/>
          <w:highlight w:val="green"/>
          <w:u w:val="single"/>
        </w:rPr>
        <w:t>which kind of hope it is reasonable to have</w:t>
      </w:r>
      <w:r>
        <w:rPr>
          <w:b w:val="0"/>
          <w:i w:val="0"/>
          <w:smallCaps w:val="0"/>
          <w:strike w:val="0"/>
          <w:sz w:val="22"/>
          <w:u w:val="single"/>
        </w:rPr>
        <w:t xml:space="preserve"> in order to avoid what I would call not the ‘pessimistic circle’ you spoke of, but the political circle which reintroduces in your hopes, and through your hopes, the things you want to avoid by these hopes</w:t>
      </w:r>
      <w:r>
        <w:rPr>
          <w:b w:val="0"/>
          <w:i w:val="0"/>
          <w:smallCaps w:val="0"/>
          <w:strike w:val="0"/>
          <w:u w:val="none"/>
        </w:rPr>
        <w:t>” (BdS-D250[07], 11). Foucault characterized his attitude as “hyper- and pessimistic activism.” His suspicion and pessimism, along with his hyperactivity, are precisely because he holds “a certain kind of hope.” As J. Joyce Schuld notes—and her choice of adjectives is apt—this interview reminds us that “he has been inspired by something that is both more promising and more dangerous [than pessimism]—hope” (Schuld 2003, 1). Later in this discussion, Foucault clarified: “</w:t>
      </w:r>
      <w:r>
        <w:rPr>
          <w:b w:val="0"/>
          <w:i w:val="0"/>
          <w:smallCaps w:val="0"/>
          <w:strike w:val="0"/>
          <w:sz w:val="22"/>
          <w:highlight w:val="green"/>
          <w:u w:val="single"/>
        </w:rPr>
        <w:t>It’s not a circle,</w:t>
      </w:r>
      <w:r>
        <w:rPr>
          <w:b w:val="0"/>
          <w:i w:val="0"/>
          <w:smallCaps w:val="0"/>
          <w:strike w:val="0"/>
          <w:sz w:val="22"/>
          <w:u w:val="single"/>
        </w:rPr>
        <w:t xml:space="preserve"> a vicious circle from hope to despair, or from hope to complete disappointment. </w:t>
      </w:r>
      <w:r>
        <w:rPr>
          <w:b w:val="0"/>
          <w:i w:val="0"/>
          <w:smallCaps w:val="0"/>
          <w:strike w:val="0"/>
          <w:sz w:val="22"/>
          <w:highlight w:val="green"/>
          <w:u w:val="single"/>
        </w:rPr>
        <w:t>All</w:t>
      </w:r>
      <w:r>
        <w:rPr>
          <w:b w:val="0"/>
          <w:i w:val="0"/>
          <w:smallCaps w:val="0"/>
          <w:strike w:val="0"/>
          <w:sz w:val="22"/>
          <w:highlight w:val="green"/>
          <w:u w:val="single"/>
        </w:rPr>
        <w:t xml:space="preserve"> it is is strategic features</w:t>
      </w:r>
      <w:r>
        <w:rPr>
          <w:b w:val="0"/>
          <w:i w:val="0"/>
          <w:smallCaps w:val="0"/>
          <w:strike w:val="0"/>
          <w:sz w:val="22"/>
          <w:u w:val="single"/>
        </w:rPr>
        <w:t xml:space="preserve">, and </w:t>
      </w:r>
      <w:r>
        <w:rPr>
          <w:b w:val="0"/>
          <w:i w:val="0"/>
          <w:smallCaps w:val="0"/>
          <w:strike w:val="0"/>
          <w:sz w:val="22"/>
          <w:highlight w:val="green"/>
          <w:u w:val="single"/>
        </w:rPr>
        <w:t>hope is totally essential to our political life</w:t>
      </w:r>
      <w:r>
        <w:rPr>
          <w:b w:val="0"/>
          <w:i w:val="0"/>
          <w:smallCaps w:val="0"/>
          <w:strike w:val="0"/>
          <w:sz w:val="22"/>
          <w:u w:val="single"/>
        </w:rPr>
        <w:t>. . . .</w:t>
      </w:r>
      <w:r>
        <w:rPr>
          <w:b w:val="0"/>
          <w:i w:val="0"/>
          <w:smallCaps w:val="0"/>
          <w:strike w:val="0"/>
          <w:sz w:val="22"/>
          <w:u w:val="single"/>
        </w:rPr>
        <w:t xml:space="preserve"> And we don’t have to renounce our hope because we are </w:t>
      </w:r>
      <w:r>
        <w:rPr>
          <w:b w:val="0"/>
          <w:i w:val="0"/>
          <w:smallCaps w:val="0"/>
          <w:strike w:val="0"/>
          <w:sz w:val="22"/>
          <w:u w:val="single"/>
        </w:rPr>
        <w:t>suspicious, or</w:t>
      </w:r>
      <w:r>
        <w:rPr>
          <w:b w:val="0"/>
          <w:i w:val="0"/>
          <w:smallCaps w:val="0"/>
          <w:strike w:val="0"/>
          <w:sz w:val="22"/>
          <w:u w:val="single"/>
        </w:rPr>
        <w:t xml:space="preserve"> renounce our suspicion because we have hope” (</w:t>
      </w:r>
      <w:r>
        <w:rPr>
          <w:b w:val="0"/>
          <w:i w:val="0"/>
          <w:smallCaps w:val="0"/>
          <w:strike w:val="0"/>
          <w:u w:val="none"/>
        </w:rPr>
        <w:t>BdS-D250[07], 14).</w:t>
      </w:r>
    </w:p>
    <w:p>
      <w:pPr>
        <w:spacing w:after="60"/>
      </w:pPr>
      <w:r>
        <w:rPr>
          <w:b w:val="0"/>
          <w:i w:val="0"/>
          <w:smallCaps w:val="0"/>
          <w:strike w:val="0"/>
          <w:u w:val="none"/>
        </w:rPr>
        <w:t>Reflecting on his 1977 comment, we can discern that hope is evident</w:t>
      </w:r>
      <w:r>
        <w:rPr>
          <w:b w:val="0"/>
          <w:i w:val="0"/>
          <w:smallCaps w:val="0"/>
          <w:strike w:val="0"/>
          <w:sz w:val="22"/>
          <w:u w:val="single"/>
        </w:rPr>
        <w:t xml:space="preserve">: “It seems to me that </w:t>
      </w:r>
      <w:r>
        <w:rPr>
          <w:b w:val="0"/>
          <w:i w:val="0"/>
          <w:smallCaps w:val="0"/>
          <w:strike w:val="0"/>
          <w:sz w:val="22"/>
          <w:highlight w:val="green"/>
          <w:u w:val="single"/>
        </w:rPr>
        <w:t>power is ‘always already there</w:t>
      </w:r>
      <w:r>
        <w:rPr>
          <w:b w:val="0"/>
          <w:i w:val="0"/>
          <w:smallCaps w:val="0"/>
          <w:strike w:val="0"/>
          <w:sz w:val="22"/>
          <w:u w:val="single"/>
        </w:rPr>
        <w:t xml:space="preserve">,’ </w:t>
      </w:r>
      <w:r>
        <w:rPr>
          <w:b w:val="0"/>
          <w:i w:val="0"/>
          <w:smallCaps w:val="0"/>
          <w:strike w:val="0"/>
          <w:sz w:val="22"/>
          <w:highlight w:val="green"/>
          <w:u w:val="single"/>
        </w:rPr>
        <w:t>that one is never ‘outside’ it</w:t>
      </w:r>
      <w:r>
        <w:rPr>
          <w:b w:val="0"/>
          <w:i w:val="0"/>
          <w:smallCaps w:val="0"/>
          <w:strike w:val="0"/>
          <w:sz w:val="22"/>
          <w:u w:val="single"/>
        </w:rPr>
        <w:t xml:space="preserve">, that </w:t>
      </w:r>
      <w:r>
        <w:rPr>
          <w:b w:val="0"/>
          <w:i w:val="0"/>
          <w:smallCaps w:val="0"/>
          <w:strike w:val="0"/>
          <w:sz w:val="22"/>
          <w:highlight w:val="green"/>
          <w:u w:val="single"/>
        </w:rPr>
        <w:t>there are no ‘margins’ for those who break with the system to gambol in</w:t>
      </w:r>
      <w:r>
        <w:rPr>
          <w:b w:val="0"/>
          <w:i w:val="0"/>
          <w:smallCaps w:val="0"/>
          <w:strike w:val="0"/>
          <w:sz w:val="22"/>
          <w:u w:val="single"/>
        </w:rPr>
        <w:t xml:space="preserve">. But this </w:t>
      </w:r>
      <w:r>
        <w:rPr>
          <w:b w:val="0"/>
          <w:i w:val="0"/>
          <w:smallCaps w:val="0"/>
          <w:strike w:val="0"/>
          <w:sz w:val="22"/>
          <w:highlight w:val="green"/>
          <w:u w:val="single"/>
        </w:rPr>
        <w:t>does not entail</w:t>
      </w:r>
      <w:r>
        <w:rPr>
          <w:b w:val="0"/>
          <w:i w:val="0"/>
          <w:smallCaps w:val="0"/>
          <w:strike w:val="0"/>
          <w:sz w:val="22"/>
          <w:u w:val="single"/>
        </w:rPr>
        <w:t xml:space="preserve"> the necessity of </w:t>
      </w:r>
      <w:r>
        <w:rPr>
          <w:b w:val="0"/>
          <w:i w:val="0"/>
          <w:smallCaps w:val="0"/>
          <w:strike w:val="0"/>
          <w:sz w:val="22"/>
          <w:highlight w:val="green"/>
          <w:u w:val="single"/>
        </w:rPr>
        <w:t>accepting</w:t>
      </w:r>
      <w:r>
        <w:rPr>
          <w:b w:val="0"/>
          <w:i w:val="0"/>
          <w:smallCaps w:val="0"/>
          <w:strike w:val="0"/>
          <w:sz w:val="22"/>
          <w:u w:val="single"/>
        </w:rPr>
        <w:t xml:space="preserve"> an inescapable form of </w:t>
      </w:r>
      <w:r>
        <w:rPr>
          <w:b w:val="0"/>
          <w:i w:val="0"/>
          <w:smallCaps w:val="0"/>
          <w:strike w:val="0"/>
          <w:sz w:val="22"/>
          <w:highlight w:val="green"/>
          <w:u w:val="single"/>
        </w:rPr>
        <w:t>domination</w:t>
      </w:r>
      <w:r>
        <w:rPr>
          <w:b w:val="0"/>
          <w:i w:val="0"/>
          <w:smallCaps w:val="0"/>
          <w:strike w:val="0"/>
          <w:sz w:val="22"/>
          <w:u w:val="single"/>
        </w:rPr>
        <w:t>. . . .</w:t>
      </w:r>
      <w:r>
        <w:rPr>
          <w:b w:val="0"/>
          <w:i w:val="0"/>
          <w:smallCaps w:val="0"/>
          <w:strike w:val="0"/>
          <w:sz w:val="22"/>
          <w:u w:val="single"/>
        </w:rPr>
        <w:t xml:space="preserve"> To say that </w:t>
      </w:r>
      <w:r>
        <w:rPr>
          <w:b w:val="0"/>
          <w:i w:val="0"/>
          <w:smallCaps w:val="0"/>
          <w:strike w:val="0"/>
          <w:sz w:val="22"/>
          <w:highlight w:val="green"/>
          <w:u w:val="single"/>
        </w:rPr>
        <w:t>one can never be ‘outside’ power does not mean</w:t>
      </w:r>
      <w:r>
        <w:rPr>
          <w:b w:val="0"/>
          <w:i w:val="0"/>
          <w:smallCaps w:val="0"/>
          <w:strike w:val="0"/>
          <w:sz w:val="22"/>
          <w:u w:val="single"/>
        </w:rPr>
        <w:t xml:space="preserve"> that </w:t>
      </w:r>
      <w:r>
        <w:rPr>
          <w:b w:val="0"/>
          <w:i w:val="0"/>
          <w:smallCaps w:val="0"/>
          <w:strike w:val="0"/>
          <w:sz w:val="22"/>
          <w:highlight w:val="green"/>
          <w:u w:val="single"/>
        </w:rPr>
        <w:t>one is trapped</w:t>
      </w:r>
      <w:r>
        <w:rPr>
          <w:b w:val="0"/>
          <w:i w:val="0"/>
          <w:smallCaps w:val="0"/>
          <w:strike w:val="0"/>
          <w:sz w:val="22"/>
          <w:u w:val="single"/>
        </w:rPr>
        <w:t xml:space="preserve"> and condemned to defeat no matter what”</w:t>
      </w:r>
      <w:r>
        <w:rPr>
          <w:b w:val="0"/>
          <w:i w:val="0"/>
          <w:smallCaps w:val="0"/>
          <w:strike w:val="0"/>
          <w:u w:val="none"/>
        </w:rPr>
        <w:t xml:space="preserve"> (DE218.1, 141–142). Although power is ubiquitous and influences all our relationships and even our ethical possibilities, we are not “condemned to defeat.” On the contrary, this universality of power implies that resources for freedom are always available, and “</w:t>
      </w:r>
      <w:r>
        <w:rPr>
          <w:b w:val="0"/>
          <w:i w:val="0"/>
          <w:smallCaps w:val="0"/>
          <w:strike w:val="0"/>
          <w:sz w:val="22"/>
          <w:highlight w:val="green"/>
          <w:u w:val="single"/>
        </w:rPr>
        <w:t>we always have something to do</w:t>
      </w:r>
      <w:r>
        <w:rPr>
          <w:b w:val="0"/>
          <w:i w:val="0"/>
          <w:smallCaps w:val="0"/>
          <w:strike w:val="0"/>
          <w:sz w:val="22"/>
          <w:u w:val="single"/>
        </w:rPr>
        <w:t>.” The ongoing challenge is to determine what actions one ought to take.</w:t>
      </w:r>
    </w:p>
    <w:p>
      <w:pPr>
        <w:spacing w:after="60"/>
      </w:pPr>
      <w:r>
        <w:rPr>
          <w:b w:val="0"/>
          <w:i w:val="0"/>
          <w:smallCaps w:val="0"/>
          <w:strike w:val="0"/>
          <w:u w:val="none"/>
        </w:rPr>
        <w:t xml:space="preserve">Consider again excerpts from Foucault’s 1978 Collège de France course, a crucial series in which Foucault articulated the final structures of his power analysis and clarified the ethical stakes of the “art of governing.” </w:t>
      </w:r>
      <w:r>
        <w:rPr>
          <w:b w:val="0"/>
          <w:i w:val="0"/>
          <w:smallCaps w:val="0"/>
          <w:strike w:val="0"/>
          <w:sz w:val="22"/>
          <w:u w:val="single"/>
        </w:rPr>
        <w:t>He observes, in his description of biopower, that “</w:t>
      </w:r>
      <w:r>
        <w:rPr>
          <w:b w:val="0"/>
          <w:i w:val="0"/>
          <w:smallCaps w:val="0"/>
          <w:strike w:val="0"/>
          <w:sz w:val="22"/>
          <w:highlight w:val="green"/>
          <w:u w:val="single"/>
        </w:rPr>
        <w:t>risks are not the same for all individuals</w:t>
      </w:r>
      <w:r>
        <w:rPr>
          <w:b w:val="0"/>
          <w:i w:val="0"/>
          <w:smallCaps w:val="0"/>
          <w:strike w:val="0"/>
          <w:sz w:val="22"/>
          <w:u w:val="single"/>
        </w:rPr>
        <w:t>, all ages, or in every condition, place or milieu. There are therefore differential risks that reveal, as it were, zones of higher risk and, on the other hand, zones of less or lower risk.</w:t>
      </w:r>
      <w:r>
        <w:rPr>
          <w:b w:val="0"/>
          <w:i w:val="0"/>
          <w:smallCaps w:val="0"/>
          <w:strike w:val="0"/>
          <w:u w:val="none"/>
        </w:rPr>
        <w:t xml:space="preserve"> This means that one can thus identify what is dangerous” (CdF78ET, 61). This process of assessing dangers relates to power in governance. As Foucault notes while discussing Machiavelli’s The Prince: “</w:t>
      </w:r>
      <w:r>
        <w:rPr>
          <w:b w:val="0"/>
          <w:i w:val="0"/>
          <w:smallCaps w:val="0"/>
          <w:strike w:val="0"/>
          <w:sz w:val="22"/>
          <w:u w:val="single"/>
        </w:rPr>
        <w:t>On the one hand, [</w:t>
      </w:r>
      <w:r>
        <w:rPr>
          <w:b w:val="0"/>
          <w:i w:val="0"/>
          <w:smallCaps w:val="0"/>
          <w:strike w:val="0"/>
          <w:sz w:val="22"/>
          <w:highlight w:val="green"/>
          <w:u w:val="single"/>
        </w:rPr>
        <w:t xml:space="preserve">Machiavelli’s analysis] </w:t>
      </w:r>
      <w:r>
        <w:rPr>
          <w:b w:val="0"/>
          <w:i w:val="0"/>
          <w:smallCaps w:val="0"/>
          <w:strike w:val="0"/>
          <w:sz w:val="22"/>
          <w:highlight w:val="green"/>
          <w:u w:val="single"/>
        </w:rPr>
        <w:t>involves</w:t>
      </w:r>
      <w:r>
        <w:rPr>
          <w:b w:val="0"/>
          <w:i w:val="0"/>
          <w:smallCaps w:val="0"/>
          <w:strike w:val="0"/>
          <w:sz w:val="22"/>
          <w:highlight w:val="green"/>
          <w:u w:val="single"/>
        </w:rPr>
        <w:t xml:space="preserve"> the identification of dangers</w:t>
      </w:r>
      <w:r>
        <w:rPr>
          <w:b w:val="0"/>
          <w:i w:val="0"/>
          <w:smallCaps w:val="0"/>
          <w:strike w:val="0"/>
          <w:sz w:val="22"/>
          <w:u w:val="single"/>
        </w:rPr>
        <w:t xml:space="preserve">: where they come from, in what they consist, and their </w:t>
      </w:r>
      <w:r>
        <w:rPr>
          <w:b w:val="0"/>
          <w:i w:val="0"/>
          <w:smallCaps w:val="0"/>
          <w:strike w:val="0"/>
          <w:sz w:val="22"/>
          <w:highlight w:val="green"/>
          <w:u w:val="single"/>
        </w:rPr>
        <w:t>comparative severit</w:t>
      </w:r>
      <w:r>
        <w:rPr>
          <w:b w:val="0"/>
          <w:i w:val="0"/>
          <w:smallCaps w:val="0"/>
          <w:strike w:val="0"/>
          <w:sz w:val="22"/>
          <w:u w:val="single"/>
        </w:rPr>
        <w:t xml:space="preserve">y; what is the greater danger, and what is the lesser? The second aspect is </w:t>
      </w:r>
      <w:r>
        <w:rPr>
          <w:b w:val="0"/>
          <w:i w:val="0"/>
          <w:smallCaps w:val="0"/>
          <w:strike w:val="0"/>
          <w:sz w:val="22"/>
          <w:highlight w:val="green"/>
          <w:u w:val="single"/>
        </w:rPr>
        <w:t>the art of manipulating relations of force</w:t>
      </w:r>
      <w:r>
        <w:rPr>
          <w:b w:val="0"/>
          <w:i w:val="0"/>
          <w:smallCaps w:val="0"/>
          <w:strike w:val="0"/>
          <w:sz w:val="22"/>
          <w:u w:val="single"/>
        </w:rPr>
        <w:t xml:space="preserve"> that </w:t>
      </w:r>
      <w:r>
        <w:rPr>
          <w:b w:val="0"/>
          <w:i w:val="0"/>
          <w:smallCaps w:val="0"/>
          <w:strike w:val="0"/>
          <w:sz w:val="22"/>
          <w:u w:val="single"/>
        </w:rPr>
        <w:t>enable</w:t>
      </w:r>
      <w:r>
        <w:rPr>
          <w:b w:val="0"/>
          <w:i w:val="0"/>
          <w:smallCaps w:val="0"/>
          <w:strike w:val="0"/>
          <w:sz w:val="22"/>
          <w:u w:val="single"/>
        </w:rPr>
        <w:t xml:space="preserve"> the </w:t>
      </w:r>
      <w:r>
        <w:rPr>
          <w:b w:val="0"/>
          <w:i w:val="0"/>
          <w:smallCaps w:val="0"/>
          <w:strike w:val="0"/>
          <w:sz w:val="22"/>
          <w:u w:val="single"/>
        </w:rPr>
        <w:t>Prince</w:t>
      </w:r>
      <w:r>
        <w:rPr>
          <w:b w:val="0"/>
          <w:i w:val="0"/>
          <w:smallCaps w:val="0"/>
          <w:strike w:val="0"/>
          <w:sz w:val="22"/>
          <w:u w:val="single"/>
        </w:rPr>
        <w:t xml:space="preserve"> to protect his principality”</w:t>
      </w:r>
      <w:r>
        <w:rPr>
          <w:b w:val="0"/>
          <w:i w:val="0"/>
          <w:smallCaps w:val="0"/>
          <w:strike w:val="0"/>
          <w:u w:val="none"/>
        </w:rPr>
        <w:t xml:space="preserve"> (CdF78ET, 92). Foucault continues, however, that contemporary anti-Machiavellian literature reveals that this analysis should not be limited to “preserving one’s principality” but rather </w:t>
      </w:r>
      <w:r>
        <w:rPr>
          <w:b w:val="0"/>
          <w:i w:val="0"/>
          <w:smallCaps w:val="0"/>
          <w:strike w:val="0"/>
          <w:sz w:val="22"/>
          <w:u w:val="single"/>
        </w:rPr>
        <w:t>extended to a broader “</w:t>
      </w:r>
      <w:r>
        <w:rPr>
          <w:b w:val="0"/>
          <w:i w:val="0"/>
          <w:smallCaps w:val="0"/>
          <w:strike w:val="0"/>
          <w:sz w:val="22"/>
          <w:highlight w:val="green"/>
          <w:u w:val="single"/>
        </w:rPr>
        <w:t xml:space="preserve">art of government” </w:t>
      </w:r>
      <w:r>
        <w:rPr>
          <w:b w:val="0"/>
          <w:i w:val="0"/>
          <w:smallCaps w:val="0"/>
          <w:strike w:val="0"/>
          <w:sz w:val="22"/>
          <w:u w:val="single"/>
        </w:rPr>
        <w:t>encompassing</w:t>
      </w:r>
      <w:r>
        <w:rPr>
          <w:b w:val="0"/>
          <w:i w:val="0"/>
          <w:smallCaps w:val="0"/>
          <w:strike w:val="0"/>
          <w:sz w:val="22"/>
          <w:u w:val="single"/>
        </w:rPr>
        <w:t xml:space="preserve"> </w:t>
      </w:r>
      <w:r>
        <w:rPr>
          <w:b w:val="0"/>
          <w:i w:val="0"/>
          <w:smallCaps w:val="0"/>
          <w:strike w:val="0"/>
          <w:sz w:val="22"/>
          <w:highlight w:val="green"/>
          <w:u w:val="single"/>
        </w:rPr>
        <w:t>three levels:</w:t>
      </w:r>
      <w:r>
        <w:rPr>
          <w:b w:val="0"/>
          <w:i w:val="0"/>
          <w:smallCaps w:val="0"/>
          <w:strike w:val="0"/>
          <w:sz w:val="22"/>
          <w:u w:val="single"/>
        </w:rPr>
        <w:t xml:space="preserve"> “the </w:t>
      </w:r>
      <w:r>
        <w:rPr>
          <w:b w:val="0"/>
          <w:i w:val="0"/>
          <w:smallCaps w:val="0"/>
          <w:strike w:val="0"/>
          <w:sz w:val="22"/>
          <w:highlight w:val="green"/>
          <w:u w:val="single"/>
        </w:rPr>
        <w:t>government of oneself</w:t>
      </w:r>
      <w:r>
        <w:rPr>
          <w:b w:val="0"/>
          <w:i w:val="0"/>
          <w:smallCaps w:val="0"/>
          <w:strike w:val="0"/>
          <w:sz w:val="22"/>
          <w:u w:val="single"/>
        </w:rPr>
        <w:t xml:space="preserve">, which falls under morality; the art of properly </w:t>
      </w:r>
      <w:r>
        <w:rPr>
          <w:b w:val="0"/>
          <w:i w:val="0"/>
          <w:smallCaps w:val="0"/>
          <w:strike w:val="0"/>
          <w:sz w:val="22"/>
          <w:highlight w:val="green"/>
          <w:u w:val="single"/>
        </w:rPr>
        <w:t>governing a family</w:t>
      </w:r>
      <w:r>
        <w:rPr>
          <w:b w:val="0"/>
          <w:i w:val="0"/>
          <w:smallCaps w:val="0"/>
          <w:strike w:val="0"/>
          <w:sz w:val="22"/>
          <w:u w:val="single"/>
        </w:rPr>
        <w:t>, which is part of economy; and finally, the ‘</w:t>
      </w:r>
      <w:r>
        <w:rPr>
          <w:b w:val="0"/>
          <w:i w:val="0"/>
          <w:smallCaps w:val="0"/>
          <w:strike w:val="0"/>
          <w:sz w:val="22"/>
          <w:highlight w:val="green"/>
          <w:u w:val="single"/>
        </w:rPr>
        <w:t>science of governing well’ the state</w:t>
      </w:r>
      <w:r>
        <w:rPr>
          <w:b w:val="0"/>
          <w:i w:val="0"/>
          <w:smallCaps w:val="0"/>
          <w:strike w:val="0"/>
          <w:sz w:val="22"/>
          <w:u w:val="single"/>
        </w:rPr>
        <w:t>, which belongs to politics” (</w:t>
      </w:r>
      <w:r>
        <w:rPr>
          <w:b w:val="0"/>
          <w:i w:val="0"/>
          <w:smallCaps w:val="0"/>
          <w:strike w:val="0"/>
          <w:u w:val="none"/>
        </w:rPr>
        <w:t xml:space="preserve">CdF78ET, 93–94). Foucault’s analysis of </w:t>
      </w:r>
      <w:r>
        <w:rPr>
          <w:b w:val="0"/>
          <w:i w:val="0"/>
          <w:smallCaps w:val="0"/>
          <w:strike w:val="0"/>
          <w:sz w:val="22"/>
          <w:u w:val="single"/>
        </w:rPr>
        <w:t xml:space="preserve">power provides resources for integrating these three levels and for recognizing (and thus manipulating) the kinds of force relations (sovereign, disciplinary, and biopolitical) at play within them. His ethical </w:t>
      </w:r>
      <w:r>
        <w:rPr>
          <w:b w:val="0"/>
          <w:i w:val="0"/>
          <w:smallCaps w:val="0"/>
          <w:strike w:val="0"/>
          <w:sz w:val="22"/>
          <w:highlight w:val="green"/>
          <w:u w:val="single"/>
        </w:rPr>
        <w:t>trajectories offer tools to identify</w:t>
      </w:r>
      <w:r>
        <w:rPr>
          <w:b w:val="0"/>
          <w:i w:val="0"/>
          <w:smallCaps w:val="0"/>
          <w:strike w:val="0"/>
          <w:sz w:val="22"/>
          <w:u w:val="single"/>
        </w:rPr>
        <w:t xml:space="preserve"> and </w:t>
      </w:r>
      <w:r>
        <w:rPr>
          <w:b w:val="0"/>
          <w:i w:val="0"/>
          <w:smallCaps w:val="0"/>
          <w:strike w:val="0"/>
          <w:sz w:val="22"/>
          <w:highlight w:val="green"/>
          <w:u w:val="single"/>
        </w:rPr>
        <w:t>evaluate the</w:t>
      </w:r>
      <w:r>
        <w:rPr>
          <w:b w:val="0"/>
          <w:i w:val="0"/>
          <w:smallCaps w:val="0"/>
          <w:strike w:val="0"/>
          <w:sz w:val="22"/>
          <w:u w:val="single"/>
        </w:rPr>
        <w:t xml:space="preserve"> accompanying </w:t>
      </w:r>
      <w:r>
        <w:rPr>
          <w:b w:val="0"/>
          <w:i w:val="0"/>
          <w:smallCaps w:val="0"/>
          <w:strike w:val="0"/>
          <w:sz w:val="22"/>
          <w:highlight w:val="green"/>
          <w:u w:val="single"/>
        </w:rPr>
        <w:t>dangers</w:t>
      </w:r>
      <w:r>
        <w:rPr>
          <w:b w:val="0"/>
          <w:i w:val="0"/>
          <w:smallCaps w:val="0"/>
          <w:strike w:val="0"/>
          <w:sz w:val="22"/>
          <w:u w:val="single"/>
        </w:rPr>
        <w:t xml:space="preserve">, </w:t>
      </w:r>
      <w:r>
        <w:rPr>
          <w:b w:val="0"/>
          <w:i w:val="0"/>
          <w:smallCaps w:val="0"/>
          <w:strike w:val="0"/>
          <w:sz w:val="22"/>
          <w:highlight w:val="green"/>
          <w:u w:val="single"/>
        </w:rPr>
        <w:t>providing grounds upon</w:t>
      </w:r>
      <w:r>
        <w:rPr>
          <w:b w:val="0"/>
          <w:i w:val="0"/>
          <w:smallCaps w:val="0"/>
          <w:strike w:val="0"/>
          <w:sz w:val="22"/>
          <w:u w:val="single"/>
        </w:rPr>
        <w:t xml:space="preserve"> </w:t>
      </w:r>
      <w:r>
        <w:rPr>
          <w:b w:val="0"/>
          <w:i w:val="0"/>
          <w:smallCaps w:val="0"/>
          <w:strike w:val="0"/>
          <w:sz w:val="22"/>
          <w:highlight w:val="green"/>
          <w:u w:val="single"/>
        </w:rPr>
        <w:t xml:space="preserve">which to act </w:t>
      </w:r>
      <w:r>
        <w:rPr>
          <w:b w:val="0"/>
          <w:i w:val="0"/>
          <w:smallCaps w:val="0"/>
          <w:strike w:val="0"/>
          <w:sz w:val="22"/>
          <w:u w:val="single"/>
        </w:rPr>
        <w:t>and criteria</w:t>
      </w:r>
      <w:r>
        <w:rPr>
          <w:b w:val="0"/>
          <w:i w:val="0"/>
          <w:smallCaps w:val="0"/>
          <w:strike w:val="0"/>
          <w:sz w:val="22"/>
          <w:u w:val="single"/>
        </w:rPr>
        <w:t xml:space="preserve"> for </w:t>
      </w:r>
      <w:r>
        <w:rPr>
          <w:b w:val="0"/>
          <w:i w:val="0"/>
          <w:smallCaps w:val="0"/>
          <w:strike w:val="0"/>
          <w:sz w:val="22"/>
          <w:highlight w:val="green"/>
          <w:u w:val="single"/>
        </w:rPr>
        <w:t>assessing that action</w:t>
      </w:r>
      <w:r>
        <w:rPr>
          <w:b w:val="0"/>
          <w:i w:val="0"/>
          <w:smallCaps w:val="0"/>
          <w:strike w:val="0"/>
          <w:sz w:val="22"/>
          <w:u w:val="single"/>
        </w:rPr>
        <w:t xml:space="preserve">, albeit </w:t>
      </w:r>
      <w:r>
        <w:rPr>
          <w:b w:val="0"/>
          <w:i w:val="0"/>
          <w:smallCaps w:val="0"/>
          <w:strike w:val="0"/>
          <w:sz w:val="22"/>
          <w:highlight w:val="green"/>
          <w:u w:val="single"/>
        </w:rPr>
        <w:t>tentatively, for “we always have something to do</w:t>
      </w:r>
      <w:r>
        <w:rPr>
          <w:b w:val="0"/>
          <w:i w:val="0"/>
          <w:smallCaps w:val="0"/>
          <w:strike w:val="0"/>
          <w:sz w:val="22"/>
          <w:u w:val="single"/>
        </w:rPr>
        <w:t>.</w:t>
      </w:r>
      <w:r>
        <w:rPr>
          <w:b w:val="0"/>
          <w:i w:val="0"/>
          <w:smallCaps w:val="0"/>
          <w:strike w:val="0"/>
          <w:u w:val="none"/>
        </w:rPr>
        <w:t xml:space="preserve">” Indeed, we must always </w:t>
      </w:r>
      <w:r>
        <w:rPr>
          <w:b w:val="0"/>
          <w:i w:val="0"/>
          <w:smallCaps w:val="0"/>
          <w:strike w:val="0"/>
          <w:sz w:val="22"/>
          <w:u w:val="single"/>
        </w:rPr>
        <w:t xml:space="preserve">keep in mind the contingency and provisionality of our maxims—this </w:t>
      </w:r>
      <w:r>
        <w:rPr>
          <w:b w:val="0"/>
          <w:i w:val="0"/>
          <w:smallCaps w:val="0"/>
          <w:strike w:val="0"/>
          <w:sz w:val="22"/>
          <w:highlight w:val="green"/>
          <w:u w:val="single"/>
        </w:rPr>
        <w:t>gives us a sense of humility</w:t>
      </w:r>
      <w:r>
        <w:rPr>
          <w:b w:val="0"/>
          <w:i w:val="0"/>
          <w:smallCaps w:val="0"/>
          <w:strike w:val="0"/>
          <w:sz w:val="22"/>
          <w:u w:val="single"/>
        </w:rPr>
        <w:t xml:space="preserve"> that might prevent or </w:t>
      </w:r>
      <w:r>
        <w:rPr>
          <w:b w:val="0"/>
          <w:i w:val="0"/>
          <w:smallCaps w:val="0"/>
          <w:strike w:val="0"/>
          <w:sz w:val="22"/>
          <w:highlight w:val="green"/>
          <w:u w:val="single"/>
        </w:rPr>
        <w:t>resist</w:t>
      </w:r>
      <w:r>
        <w:rPr>
          <w:b w:val="0"/>
          <w:i w:val="0"/>
          <w:smallCaps w:val="0"/>
          <w:strike w:val="0"/>
          <w:sz w:val="22"/>
          <w:u w:val="single"/>
        </w:rPr>
        <w:t xml:space="preserve"> a hubristic tendency towards </w:t>
      </w:r>
      <w:r>
        <w:rPr>
          <w:b w:val="0"/>
          <w:i w:val="0"/>
          <w:smallCaps w:val="0"/>
          <w:strike w:val="0"/>
          <w:sz w:val="22"/>
          <w:highlight w:val="green"/>
          <w:u w:val="single"/>
        </w:rPr>
        <w:t>totalizing</w:t>
      </w:r>
      <w:r>
        <w:rPr>
          <w:b w:val="0"/>
          <w:i w:val="0"/>
          <w:smallCaps w:val="0"/>
          <w:strike w:val="0"/>
          <w:sz w:val="22"/>
          <w:u w:val="single"/>
        </w:rPr>
        <w:t xml:space="preserve"> (if not totalitarian) or utopian visions—even as we </w:t>
      </w:r>
      <w:r>
        <w:rPr>
          <w:b w:val="0"/>
          <w:i w:val="0"/>
          <w:smallCaps w:val="0"/>
          <w:strike w:val="0"/>
          <w:sz w:val="22"/>
          <w:highlight w:val="green"/>
          <w:u w:val="single"/>
        </w:rPr>
        <w:t>articulate these maxims as “imperatives</w:t>
      </w:r>
      <w:r>
        <w:rPr>
          <w:b w:val="0"/>
          <w:i w:val="0"/>
          <w:smallCaps w:val="0"/>
          <w:strike w:val="0"/>
          <w:sz w:val="22"/>
          <w:u w:val="single"/>
        </w:rPr>
        <w:t>.” Thus, his 1977 remark that “</w:t>
      </w:r>
      <w:r>
        <w:rPr>
          <w:b w:val="0"/>
          <w:i w:val="0"/>
          <w:smallCaps w:val="0"/>
          <w:strike w:val="0"/>
          <w:sz w:val="22"/>
          <w:highlight w:val="green"/>
          <w:u w:val="single"/>
        </w:rPr>
        <w:t>the role for theory today</w:t>
      </w:r>
      <w:r>
        <w:rPr>
          <w:b w:val="0"/>
          <w:i w:val="0"/>
          <w:smallCaps w:val="0"/>
          <w:strike w:val="0"/>
          <w:sz w:val="22"/>
          <w:u w:val="single"/>
        </w:rPr>
        <w:t xml:space="preserve"> seems to me to be just this: </w:t>
      </w:r>
      <w:r>
        <w:rPr>
          <w:b w:val="0"/>
          <w:i w:val="0"/>
          <w:smallCaps w:val="0"/>
          <w:strike w:val="0"/>
          <w:sz w:val="22"/>
          <w:highlight w:val="green"/>
          <w:u w:val="single"/>
        </w:rPr>
        <w:t>not to formulate the global systematic theory</w:t>
      </w:r>
      <w:r>
        <w:rPr>
          <w:b w:val="0"/>
          <w:i w:val="0"/>
          <w:smallCaps w:val="0"/>
          <w:strike w:val="0"/>
          <w:sz w:val="22"/>
          <w:u w:val="single"/>
        </w:rPr>
        <w:t xml:space="preserve"> which holds everything in place, but to </w:t>
      </w:r>
      <w:r>
        <w:rPr>
          <w:b w:val="0"/>
          <w:i w:val="0"/>
          <w:smallCaps w:val="0"/>
          <w:strike w:val="0"/>
          <w:sz w:val="22"/>
          <w:highlight w:val="green"/>
          <w:u w:val="single"/>
        </w:rPr>
        <w:t>analyse the specificity of mechanisms of power</w:t>
      </w:r>
      <w:r>
        <w:rPr>
          <w:b w:val="0"/>
          <w:i w:val="0"/>
          <w:smallCaps w:val="0"/>
          <w:strike w:val="0"/>
          <w:sz w:val="22"/>
          <w:u w:val="single"/>
        </w:rPr>
        <w:t xml:space="preserve">, to locate the connections and extensions, to </w:t>
      </w:r>
      <w:r>
        <w:rPr>
          <w:b w:val="0"/>
          <w:i w:val="0"/>
          <w:smallCaps w:val="0"/>
          <w:strike w:val="0"/>
          <w:sz w:val="22"/>
          <w:highlight w:val="green"/>
          <w:u w:val="single"/>
        </w:rPr>
        <w:t>build little by little a strategic knowledge</w:t>
      </w:r>
      <w:r>
        <w:rPr>
          <w:b w:val="0"/>
          <w:i w:val="0"/>
          <w:smallCaps w:val="0"/>
          <w:strike w:val="0"/>
          <w:sz w:val="22"/>
          <w:u w:val="single"/>
        </w:rPr>
        <w:t>” (DE218.1, 145).</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