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The</w:t>
      </w:r>
      <w:r>
        <w:rPr>
          <w:b/>
          <w:i w:val="0"/>
          <w:smallCaps w:val="0"/>
          <w:strike w:val="0"/>
          <w:sz w:val="28"/>
          <w:u w:val="none"/>
        </w:rPr>
        <w:t xml:space="preserve"> shift to </w:t>
      </w:r>
      <w:r>
        <w:rPr>
          <w:b/>
          <w:i w:val="0"/>
          <w:smallCaps w:val="0"/>
          <w:strike w:val="0"/>
          <w:sz w:val="28"/>
          <w:u w:val="single"/>
        </w:rPr>
        <w:t>trade secrets</w:t>
      </w:r>
      <w:r>
        <w:rPr>
          <w:b/>
          <w:i w:val="0"/>
          <w:smallCaps w:val="0"/>
          <w:strike w:val="0"/>
          <w:sz w:val="28"/>
          <w:u w:val="none"/>
        </w:rPr>
        <w:t xml:space="preserve"> protection</w:t>
      </w:r>
      <w:r>
        <w:rPr>
          <w:b/>
          <w:i w:val="0"/>
          <w:smallCaps w:val="0"/>
          <w:strike w:val="0"/>
          <w:sz w:val="28"/>
          <w:u w:val="none"/>
        </w:rPr>
        <w:t xml:space="preserve"> </w:t>
      </w:r>
      <w:r>
        <w:rPr>
          <w:b/>
          <w:i w:val="0"/>
          <w:smallCaps w:val="0"/>
          <w:strike w:val="0"/>
          <w:sz w:val="28"/>
          <w:u w:val="none"/>
        </w:rPr>
        <w:t xml:space="preserve">weakens </w:t>
      </w:r>
      <w:r>
        <w:rPr>
          <w:b/>
          <w:i w:val="0"/>
          <w:smallCaps w:val="0"/>
          <w:strike w:val="0"/>
          <w:sz w:val="28"/>
          <w:u w:val="single"/>
        </w:rPr>
        <w:t>follow-on</w:t>
      </w:r>
      <w:r>
        <w:rPr>
          <w:b/>
          <w:i w:val="0"/>
          <w:smallCaps w:val="0"/>
          <w:strike w:val="0"/>
          <w:sz w:val="28"/>
          <w:u w:val="none"/>
        </w:rPr>
        <w:t xml:space="preserve"> innovation</w:t>
      </w:r>
    </w:p>
    <w:p>
      <w:pPr>
        <w:spacing w:after="80"/>
      </w:pPr>
      <w:r>
        <w:rPr>
          <w:b w:val="0"/>
          <w:i w:val="0"/>
          <w:smallCaps w:val="0"/>
          <w:strike w:val="0"/>
          <w:sz w:val="20"/>
          <w:u w:val="none"/>
        </w:rPr>
        <w:t xml:space="preserve">Courtenay C. </w:t>
      </w:r>
      <w:r>
        <w:rPr>
          <w:b/>
          <w:i w:val="0"/>
          <w:smallCaps w:val="0"/>
          <w:strike w:val="0"/>
          <w:sz w:val="24"/>
          <w:u w:val="none"/>
        </w:rPr>
        <w:t>Brinckerhoff, 24</w:t>
      </w:r>
      <w:r>
        <w:rPr>
          <w:b w:val="0"/>
          <w:i w:val="0"/>
          <w:smallCaps w:val="0"/>
          <w:strike w:val="0"/>
          <w:sz w:val="20"/>
          <w:u w:val="none"/>
        </w:rPr>
        <w:t xml:space="preserve"> – registered patent attorney and have been representing chemical, biotech, and pharmaceutical clients before the USPTO for over 30 years. Answers To Questions For The Record from Senator Tillis, before the U.S. Senate Committee on the Judiciary Subcommittee on Intellectual Property,   “The Patent Eligibility Restoration Act”, 1/23, www.judiciary.senate.gov/imo/media/doc/2024-01-23_-_qfr_responses_-_brinckerhoff.pdf //DH</w:t>
      </w:r>
    </w:p>
    <w:p>
      <w:pPr>
        <w:spacing w:after="60"/>
      </w:pPr>
      <w:r>
        <w:rPr>
          <w:b/>
          <w:i w:val="0"/>
          <w:smallCaps w:val="0"/>
          <w:strike w:val="0"/>
          <w:sz w:val="28"/>
          <w:highlight w:val="cyan"/>
          <w:u w:val="single"/>
        </w:rPr>
        <w:t>While many</w:t>
      </w:r>
      <w:r>
        <w:rPr>
          <w:b/>
          <w:i w:val="0"/>
          <w:smallCaps w:val="0"/>
          <w:strike w:val="0"/>
          <w:sz w:val="28"/>
          <w:u w:val="single"/>
        </w:rPr>
        <w:t xml:space="preserve"> U.S. companies </w:t>
      </w:r>
      <w:r>
        <w:rPr>
          <w:b/>
          <w:i w:val="0"/>
          <w:smallCaps w:val="0"/>
          <w:strike w:val="0"/>
          <w:sz w:val="28"/>
          <w:highlight w:val="cyan"/>
          <w:u w:val="single"/>
        </w:rPr>
        <w:t>continue to innovate</w:t>
      </w:r>
      <w:r>
        <w:rPr>
          <w:b/>
          <w:i w:val="0"/>
          <w:smallCaps w:val="0"/>
          <w:strike w:val="0"/>
          <w:sz w:val="28"/>
          <w:u w:val="single"/>
        </w:rPr>
        <w:t xml:space="preserve"> </w:t>
      </w:r>
      <w:r>
        <w:rPr>
          <w:b w:val="0"/>
          <w:i w:val="0"/>
          <w:smallCaps w:val="0"/>
          <w:strike w:val="0"/>
          <w:sz w:val="20"/>
          <w:u w:val="none"/>
        </w:rPr>
        <w:t xml:space="preserve">in the diagnostic space, </w:t>
      </w:r>
      <w:r>
        <w:rPr>
          <w:b/>
          <w:i w:val="0"/>
          <w:smallCaps w:val="0"/>
          <w:strike w:val="0"/>
          <w:sz w:val="28"/>
          <w:highlight w:val="cyan"/>
          <w:u w:val="single"/>
        </w:rPr>
        <w:t>many</w:t>
      </w:r>
      <w:r>
        <w:rPr>
          <w:b w:val="0"/>
          <w:i w:val="0"/>
          <w:smallCaps w:val="0"/>
          <w:strike w:val="0"/>
          <w:sz w:val="20"/>
          <w:u w:val="none"/>
        </w:rPr>
        <w:t xml:space="preserve"> doing so </w:t>
      </w:r>
      <w:r>
        <w:rPr>
          <w:b/>
          <w:i w:val="0"/>
          <w:smallCaps w:val="0"/>
          <w:strike w:val="0"/>
          <w:sz w:val="28"/>
          <w:highlight w:val="cyan"/>
          <w:u w:val="single"/>
        </w:rPr>
        <w:t>are maintaining their discoveries as trade secrets</w:t>
      </w:r>
      <w:r>
        <w:rPr>
          <w:b/>
          <w:i w:val="0"/>
          <w:smallCaps w:val="0"/>
          <w:strike w:val="0"/>
          <w:sz w:val="28"/>
          <w:u w:val="single"/>
        </w:rPr>
        <w:t xml:space="preserve">. </w:t>
      </w:r>
      <w:r>
        <w:rPr>
          <w:b/>
          <w:i w:val="0"/>
          <w:smallCaps w:val="0"/>
          <w:strike w:val="0"/>
          <w:sz w:val="28"/>
          <w:highlight w:val="cyan"/>
          <w:u w:val="single"/>
        </w:rPr>
        <w:t xml:space="preserve">This will </w:t>
      </w:r>
      <w:r>
        <w:rPr>
          <w:b/>
          <w:i w:val="0"/>
          <w:smallCaps w:val="0"/>
          <w:strike w:val="0"/>
          <w:sz w:val="28"/>
          <w:highlight w:val="cyan"/>
          <w:u w:val="single"/>
        </w:rPr>
        <w:t>not have the same impact on driving innovation</w:t>
      </w:r>
      <w:r>
        <w:rPr>
          <w:b/>
          <w:i w:val="0"/>
          <w:smallCaps w:val="0"/>
          <w:strike w:val="0"/>
          <w:sz w:val="28"/>
          <w:highlight w:val="cyan"/>
          <w:u w:val="single"/>
        </w:rPr>
        <w:t xml:space="preserve"> </w:t>
      </w:r>
      <w:r>
        <w:rPr>
          <w:b/>
          <w:i w:val="0"/>
          <w:smallCaps w:val="0"/>
          <w:strike w:val="0"/>
          <w:sz w:val="28"/>
          <w:highlight w:val="cyan"/>
          <w:u w:val="single"/>
        </w:rPr>
        <w:t>as patent protection would</w:t>
      </w:r>
      <w:r>
        <w:rPr>
          <w:b/>
          <w:i w:val="0"/>
          <w:smallCaps w:val="0"/>
          <w:strike w:val="0"/>
          <w:sz w:val="28"/>
          <w:u w:val="single"/>
        </w:rPr>
        <w:t xml:space="preserve">, </w:t>
      </w:r>
      <w:r>
        <w:rPr>
          <w:b/>
          <w:i w:val="0"/>
          <w:smallCaps w:val="0"/>
          <w:strike w:val="0"/>
          <w:sz w:val="28"/>
          <w:highlight w:val="cyan"/>
          <w:u w:val="single"/>
        </w:rPr>
        <w:t xml:space="preserve">because the discoveries are not </w:t>
      </w:r>
      <w:r>
        <w:rPr>
          <w:b/>
          <w:i w:val="0"/>
          <w:smallCaps w:val="0"/>
          <w:strike w:val="0"/>
          <w:sz w:val="28"/>
          <w:u w:val="single"/>
        </w:rPr>
        <w:t xml:space="preserve">being made </w:t>
      </w:r>
      <w:r>
        <w:rPr>
          <w:b/>
          <w:i w:val="0"/>
          <w:smallCaps w:val="0"/>
          <w:strike w:val="0"/>
          <w:sz w:val="28"/>
          <w:highlight w:val="cyan"/>
          <w:u w:val="single"/>
        </w:rPr>
        <w:t>known to others who might improve upon them</w:t>
      </w:r>
      <w:r>
        <w:rPr>
          <w:b/>
          <w:i w:val="0"/>
          <w:smallCaps w:val="0"/>
          <w:strike w:val="0"/>
          <w:sz w:val="28"/>
          <w:u w:val="single"/>
        </w:rPr>
        <w:t xml:space="preserve"> </w:t>
      </w:r>
      <w:r>
        <w:rPr>
          <w:b/>
          <w:i w:val="0"/>
          <w:smallCaps w:val="0"/>
          <w:strike w:val="0"/>
          <w:sz w:val="28"/>
          <w:highlight w:val="cyan"/>
          <w:u w:val="single"/>
        </w:rPr>
        <w:t>or build new innovations</w:t>
      </w:r>
      <w:r>
        <w:rPr>
          <w:b/>
          <w:i w:val="0"/>
          <w:smallCaps w:val="0"/>
          <w:strike w:val="0"/>
          <w:sz w:val="28"/>
          <w:u w:val="single"/>
        </w:rPr>
        <w:t xml:space="preserve"> on them</w:t>
      </w:r>
      <w:r>
        <w:rPr>
          <w:b w:val="0"/>
          <w:i w:val="0"/>
          <w:smallCaps w:val="0"/>
          <w:strike w:val="0"/>
          <w:sz w:val="20"/>
          <w:u w:val="none"/>
        </w:rPr>
        <w:t xml:space="preserve">. In his written and live testimony, Mr. Blaylock argued that PERA would undesirably “permit the privatization of natural phenomena in the form of knowledge of new biomarkers and their clinical relevance,” but it is </w:t>
      </w:r>
      <w:r>
        <w:rPr>
          <w:b/>
          <w:i w:val="0"/>
          <w:smallCaps w:val="0"/>
          <w:strike w:val="0"/>
          <w:sz w:val="28"/>
          <w:u w:val="single"/>
        </w:rPr>
        <w:t xml:space="preserve">the current state of Section </w:t>
      </w:r>
      <w:r>
        <w:rPr>
          <w:b/>
          <w:i w:val="0"/>
          <w:smallCaps w:val="0"/>
          <w:strike w:val="0"/>
          <w:sz w:val="28"/>
          <w:highlight w:val="cyan"/>
          <w:u w:val="single"/>
        </w:rPr>
        <w:t>101</w:t>
      </w:r>
      <w:r>
        <w:rPr>
          <w:b/>
          <w:i w:val="0"/>
          <w:smallCaps w:val="0"/>
          <w:strike w:val="0"/>
          <w:sz w:val="28"/>
          <w:u w:val="single"/>
        </w:rPr>
        <w:t xml:space="preserve"> that </w:t>
      </w:r>
      <w:r>
        <w:rPr>
          <w:b/>
          <w:i w:val="0"/>
          <w:smallCaps w:val="0"/>
          <w:strike w:val="0"/>
          <w:sz w:val="28"/>
          <w:highlight w:val="cyan"/>
          <w:u w:val="single"/>
        </w:rPr>
        <w:t>incentives innovators to keep their discoveries to themselves</w:t>
      </w:r>
      <w:r>
        <w:rPr>
          <w:b w:val="0"/>
          <w:i w:val="0"/>
          <w:smallCaps w:val="0"/>
          <w:strike w:val="0"/>
          <w:sz w:val="20"/>
          <w:u w:val="none"/>
        </w:rPr>
        <w:t xml:space="preserve">. Mr. Blaylock’s position forgets that </w:t>
      </w:r>
      <w:r>
        <w:rPr>
          <w:b/>
          <w:i w:val="0"/>
          <w:smallCaps w:val="0"/>
          <w:strike w:val="0"/>
          <w:sz w:val="28"/>
          <w:highlight w:val="cyan"/>
          <w:u w:val="single"/>
        </w:rPr>
        <w:t>patent rights come with the cost of public disclosure</w:t>
      </w:r>
      <w:r>
        <w:rPr>
          <w:b/>
          <w:i w:val="0"/>
          <w:smallCaps w:val="0"/>
          <w:strike w:val="0"/>
          <w:sz w:val="28"/>
          <w:u w:val="single"/>
        </w:rPr>
        <w:t>, and only last for a limited time</w:t>
      </w:r>
      <w:r>
        <w:rPr>
          <w:b w:val="0"/>
          <w:i w:val="0"/>
          <w:smallCaps w:val="0"/>
          <w:strike w:val="0"/>
          <w:sz w:val="20"/>
          <w:u w:val="none"/>
        </w:rPr>
        <w:t xml:space="preserve">. </w:t>
      </w:r>
      <w:r>
        <w:rPr>
          <w:b/>
          <w:i w:val="0"/>
          <w:smallCaps w:val="0"/>
          <w:strike w:val="0"/>
          <w:sz w:val="28"/>
          <w:highlight w:val="cyan"/>
          <w:u w:val="single"/>
        </w:rPr>
        <w:t xml:space="preserve">Without PERA, innovators have little reason to share </w:t>
      </w:r>
      <w:r>
        <w:rPr>
          <w:b/>
          <w:i w:val="0"/>
          <w:smallCaps w:val="0"/>
          <w:strike w:val="0"/>
          <w:sz w:val="28"/>
          <w:u w:val="single"/>
        </w:rPr>
        <w:t xml:space="preserve">what they learn about </w:t>
      </w:r>
      <w:r>
        <w:rPr>
          <w:b/>
          <w:i w:val="0"/>
          <w:smallCaps w:val="0"/>
          <w:strike w:val="0"/>
          <w:sz w:val="28"/>
          <w:highlight w:val="cyan"/>
          <w:u w:val="single"/>
        </w:rPr>
        <w:t>newly discovered disease biomarkers</w:t>
      </w:r>
      <w:r>
        <w:rPr>
          <w:b/>
          <w:i w:val="0"/>
          <w:smallCaps w:val="0"/>
          <w:strike w:val="0"/>
          <w:sz w:val="28"/>
          <w:u w:val="single"/>
        </w:rPr>
        <w:t xml:space="preserve"> and personalized medicine, and more reason to develop their technologies in-house while keeping the underlying methodology a trade secret</w:t>
      </w:r>
      <w:r>
        <w:rPr>
          <w:b w:val="0"/>
          <w:i w:val="0"/>
          <w:smallCaps w:val="0"/>
          <w:strike w:val="0"/>
          <w:sz w:val="20"/>
          <w:u w:val="none"/>
        </w:rPr>
        <w:t xml:space="preserve">. </w:t>
      </w:r>
      <w:r>
        <w:rPr>
          <w:b/>
          <w:i w:val="0"/>
          <w:smallCaps w:val="0"/>
          <w:strike w:val="0"/>
          <w:sz w:val="28"/>
          <w:u w:val="single"/>
        </w:rPr>
        <w:t xml:space="preserve">It is </w:t>
      </w:r>
      <w:r>
        <w:rPr>
          <w:b/>
          <w:i w:val="0"/>
          <w:smallCaps w:val="0"/>
          <w:strike w:val="0"/>
          <w:sz w:val="28"/>
          <w:highlight w:val="cyan"/>
          <w:u w:val="single"/>
        </w:rPr>
        <w:t>the trade secret paradigm, not the patent system</w:t>
      </w:r>
      <w:r>
        <w:rPr>
          <w:b/>
          <w:i w:val="0"/>
          <w:smallCaps w:val="0"/>
          <w:strike w:val="0"/>
          <w:sz w:val="28"/>
          <w:u w:val="single"/>
        </w:rPr>
        <w:t xml:space="preserve">, that </w:t>
      </w:r>
      <w:r>
        <w:rPr>
          <w:b/>
          <w:i w:val="0"/>
          <w:smallCaps w:val="0"/>
          <w:strike w:val="0"/>
          <w:sz w:val="28"/>
          <w:highlight w:val="cyan"/>
          <w:u w:val="single"/>
        </w:rPr>
        <w:t xml:space="preserve">rewards </w:t>
      </w:r>
      <w:r>
        <w:rPr>
          <w:b/>
          <w:i w:val="0"/>
          <w:smallCaps w:val="0"/>
          <w:strike w:val="0"/>
          <w:sz w:val="28"/>
          <w:highlight w:val="cyan"/>
          <w:u w:val="single"/>
        </w:rPr>
        <w:t>“privatization” of knowledge</w:t>
      </w:r>
      <w:r>
        <w:rPr>
          <w:b w:val="0"/>
          <w:i w:val="0"/>
          <w:smallCaps w:val="0"/>
          <w:strike w:val="0"/>
          <w:sz w:val="20"/>
          <w:u w:val="none"/>
        </w:rPr>
        <w:t xml:space="preserve">.  </w:t>
      </w:r>
    </w:p>
    <w:p>
      <w:pPr>
        <w:spacing w:after="60"/>
      </w:pPr>
      <w:r>
        <w:rPr>
          <w:b w:val="0"/>
          <w:i w:val="0"/>
          <w:smallCaps w:val="0"/>
          <w:strike w:val="0"/>
          <w:sz w:val="20"/>
          <w:u w:val="none"/>
        </w:rPr>
        <w:t xml:space="preserve">I am aware of </w:t>
      </w:r>
      <w:r>
        <w:rPr>
          <w:b/>
          <w:i w:val="0"/>
          <w:smallCaps w:val="0"/>
          <w:strike w:val="0"/>
          <w:sz w:val="28"/>
          <w:u w:val="single"/>
        </w:rPr>
        <w:t>a</w:t>
      </w:r>
      <w:r>
        <w:rPr>
          <w:b w:val="0"/>
          <w:i w:val="0"/>
          <w:smallCaps w:val="0"/>
          <w:strike w:val="0"/>
          <w:sz w:val="20"/>
          <w:u w:val="none"/>
        </w:rPr>
        <w:t xml:space="preserve">n empirical </w:t>
      </w:r>
      <w:r>
        <w:rPr>
          <w:b/>
          <w:i w:val="0"/>
          <w:smallCaps w:val="0"/>
          <w:strike w:val="0"/>
          <w:sz w:val="28"/>
          <w:u w:val="single"/>
        </w:rPr>
        <w:t>study reported in 2022</w:t>
      </w:r>
      <w:r>
        <w:rPr>
          <w:b w:val="0"/>
          <w:i w:val="0"/>
          <w:smallCaps w:val="0"/>
          <w:strike w:val="0"/>
          <w:sz w:val="20"/>
          <w:u w:val="none"/>
        </w:rPr>
        <w:t xml:space="preserve"> in the Washington and Lee Law Review2  that </w:t>
      </w:r>
      <w:r>
        <w:rPr>
          <w:b/>
          <w:i w:val="0"/>
          <w:smallCaps w:val="0"/>
          <w:strike w:val="0"/>
          <w:sz w:val="28"/>
          <w:u w:val="single"/>
        </w:rPr>
        <w:t xml:space="preserve">determined that, “in the four years following Mayo, investment in disease diagnostic technologies was </w:t>
      </w:r>
      <w:r>
        <w:rPr>
          <w:b w:val="0"/>
          <w:i w:val="0"/>
          <w:smallCaps w:val="0"/>
          <w:strike w:val="0"/>
          <w:sz w:val="20"/>
          <w:u w:val="none"/>
        </w:rPr>
        <w:t xml:space="preserve">nearly </w:t>
      </w:r>
      <w:r>
        <w:rPr>
          <w:b/>
          <w:i w:val="0"/>
          <w:smallCaps w:val="0"/>
          <w:strike w:val="0"/>
          <w:sz w:val="28"/>
          <w:u w:val="single"/>
        </w:rPr>
        <w:t>$9.3 billion</w:t>
      </w:r>
      <w:r>
        <w:rPr>
          <w:b w:val="0"/>
          <w:i w:val="0"/>
          <w:smallCaps w:val="0"/>
          <w:strike w:val="0"/>
          <w:sz w:val="20"/>
          <w:u w:val="none"/>
        </w:rPr>
        <w:t xml:space="preserve"> dollars </w:t>
      </w:r>
      <w:r>
        <w:rPr>
          <w:b/>
          <w:i w:val="0"/>
          <w:smallCaps w:val="0"/>
          <w:strike w:val="0"/>
          <w:sz w:val="28"/>
          <w:u w:val="single"/>
        </w:rPr>
        <w:t>lower than it would have been absent Mayo</w:t>
      </w:r>
      <w:r>
        <w:rPr>
          <w:b w:val="0"/>
          <w:i w:val="0"/>
          <w:smallCaps w:val="0"/>
          <w:strike w:val="0"/>
          <w:sz w:val="20"/>
          <w:u w:val="none"/>
        </w:rPr>
        <w:t xml:space="preserve">.” The study focused on venture capital investment in the United States, in particular. While it did not consider whether money was invested in other countries instead, it at least indicates reduced investment in specific U.S. industries impacted by Mayo, which is of grave concern.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