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 eligibility limitations are shifting investment and technological leadership to other countries</w:t>
      </w:r>
    </w:p>
    <w:p>
      <w:pPr>
        <w:spacing w:after="80"/>
      </w:pPr>
      <w:r>
        <w:rPr>
          <w:b w:val="0"/>
          <w:i w:val="0"/>
          <w:smallCaps w:val="0"/>
          <w:strike w:val="0"/>
          <w:sz w:val="20"/>
          <w:u w:val="none"/>
        </w:rPr>
        <w:t xml:space="preserve">Andrei </w:t>
      </w:r>
      <w:r>
        <w:rPr>
          <w:b/>
          <w:i w:val="0"/>
          <w:smallCaps w:val="0"/>
          <w:strike w:val="0"/>
          <w:sz w:val="24"/>
          <w:u w:val="none"/>
        </w:rPr>
        <w:t>Iancu, 24</w:t>
      </w:r>
      <w:r>
        <w:rPr>
          <w:b w:val="0"/>
          <w:i w:val="0"/>
          <w:smallCaps w:val="0"/>
          <w:strike w:val="0"/>
          <w:sz w:val="20"/>
          <w:u w:val="none"/>
        </w:rPr>
        <w:t xml:space="preserve"> – Partner, Sullivan &amp; Cromwell; former Under Secretary of Commerce for Intellectual Property and Director of the United States Patent and Trademark Office. Responses to Questions from Senator Alex Padilla, before the Subcommittee on Intellectual Property in the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RESPONSE TO QUESTION 6:  </w:t>
      </w:r>
      <w:r>
        <w:rPr>
          <w:b/>
          <w:i w:val="0"/>
          <w:smallCaps w:val="0"/>
          <w:strike w:val="0"/>
          <w:sz w:val="28"/>
          <w:u w:val="single"/>
        </w:rPr>
        <w:t>After the</w:t>
      </w:r>
      <w:r>
        <w:rPr>
          <w:b w:val="0"/>
          <w:i w:val="0"/>
          <w:smallCaps w:val="0"/>
          <w:strike w:val="0"/>
          <w:sz w:val="20"/>
          <w:u w:val="none"/>
        </w:rPr>
        <w:t xml:space="preserve"> recent U.S. Supreme </w:t>
      </w:r>
      <w:r>
        <w:rPr>
          <w:b/>
          <w:i w:val="0"/>
          <w:smallCaps w:val="0"/>
          <w:strike w:val="0"/>
          <w:sz w:val="28"/>
          <w:u w:val="single"/>
        </w:rPr>
        <w:t>Court cases on patent eligibility</w:t>
      </w:r>
      <w:r>
        <w:rPr>
          <w:b/>
          <w:i w:val="0"/>
          <w:smallCaps w:val="0"/>
          <w:strike w:val="0"/>
          <w:sz w:val="28"/>
          <w:highlight w:val="cyan"/>
          <w:u w:val="single"/>
        </w:rPr>
        <w:t>, the patent systems of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tates’s </w:t>
      </w:r>
      <w:r>
        <w:rPr>
          <w:b/>
          <w:i w:val="0"/>
          <w:smallCaps w:val="0"/>
          <w:strike w:val="0"/>
          <w:sz w:val="28"/>
          <w:highlight w:val="cyan"/>
          <w:u w:val="single"/>
        </w:rPr>
        <w:t>economic counterparts currently allow for the patenting of a broader range of innovation</w:t>
      </w:r>
      <w:r>
        <w:rPr>
          <w:b/>
          <w:i w:val="0"/>
          <w:smallCaps w:val="0"/>
          <w:strike w:val="0"/>
          <w:sz w:val="28"/>
          <w:u w:val="single"/>
        </w:rPr>
        <w:t xml:space="preserve">; </w:t>
      </w:r>
      <w:r>
        <w:rPr>
          <w:b/>
          <w:i w:val="0"/>
          <w:smallCaps w:val="0"/>
          <w:strike w:val="0"/>
          <w:sz w:val="28"/>
          <w:highlight w:val="cyan"/>
          <w:u w:val="single"/>
        </w:rPr>
        <w:t>academic scholarship has confirmed this</w:t>
      </w:r>
      <w:r>
        <w:rPr>
          <w:b/>
          <w:i w:val="0"/>
          <w:smallCaps w:val="0"/>
          <w:strike w:val="0"/>
          <w:sz w:val="28"/>
          <w:u w:val="single"/>
        </w:rPr>
        <w:t xml:space="preserve"> assessment </w:t>
      </w:r>
      <w:r>
        <w:rPr>
          <w:b/>
          <w:i w:val="0"/>
          <w:smallCaps w:val="0"/>
          <w:strike w:val="0"/>
          <w:sz w:val="28"/>
          <w:highlight w:val="cyan"/>
          <w:u w:val="single"/>
        </w:rPr>
        <w:t>with a survey of patent applications</w:t>
      </w:r>
      <w:r>
        <w:rPr>
          <w:b/>
          <w:i w:val="0"/>
          <w:smallCaps w:val="0"/>
          <w:strike w:val="0"/>
          <w:sz w:val="28"/>
          <w:u w:val="single"/>
        </w:rPr>
        <w:t xml:space="preserve"> that have been </w:t>
      </w:r>
      <w:r>
        <w:rPr>
          <w:b/>
          <w:i w:val="0"/>
          <w:smallCaps w:val="0"/>
          <w:strike w:val="0"/>
          <w:sz w:val="28"/>
          <w:highlight w:val="cyan"/>
          <w:u w:val="single"/>
        </w:rPr>
        <w:t>granted in the EU and China but not in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tates.13  </w:t>
      </w:r>
      <w:r>
        <w:rPr>
          <w:b/>
          <w:i w:val="0"/>
          <w:smallCaps w:val="0"/>
          <w:strike w:val="0"/>
          <w:sz w:val="28"/>
          <w:highlight w:val="cyan"/>
          <w:u w:val="single"/>
        </w:rPr>
        <w:t>These trends are mirrored by shifts in capital investment</w:t>
      </w:r>
      <w:r>
        <w:rPr>
          <w:b/>
          <w:i w:val="0"/>
          <w:smallCaps w:val="0"/>
          <w:strike w:val="0"/>
          <w:sz w:val="28"/>
          <w:u w:val="single"/>
        </w:rPr>
        <w:t xml:space="preserve"> </w:t>
      </w:r>
      <w:r>
        <w:rPr>
          <w:b w:val="0"/>
          <w:i w:val="0"/>
          <w:smallCaps w:val="0"/>
          <w:strike w:val="0"/>
          <w:sz w:val="20"/>
          <w:u w:val="none"/>
        </w:rPr>
        <w:t xml:space="preserve">from the United States </w:t>
      </w:r>
      <w:r>
        <w:rPr>
          <w:b/>
          <w:i w:val="0"/>
          <w:smallCaps w:val="0"/>
          <w:strike w:val="0"/>
          <w:sz w:val="28"/>
          <w:highlight w:val="cyan"/>
          <w:u w:val="single"/>
        </w:rPr>
        <w:t>to these other regions</w:t>
      </w:r>
      <w:r>
        <w:rPr>
          <w:b w:val="0"/>
          <w:i w:val="0"/>
          <w:smallCaps w:val="0"/>
          <w:strike w:val="0"/>
          <w:sz w:val="20"/>
          <w:u w:val="none"/>
        </w:rPr>
        <w:t xml:space="preserve">.14   </w:t>
      </w:r>
    </w:p>
    <w:p>
      <w:pPr>
        <w:spacing w:after="60"/>
      </w:pPr>
      <w:r>
        <w:rPr>
          <w:b w:val="0"/>
          <w:i w:val="0"/>
          <w:smallCaps w:val="0"/>
          <w:strike w:val="0"/>
          <w:sz w:val="20"/>
          <w:u w:val="none"/>
        </w:rPr>
        <w:t xml:space="preserve">Collectively, </w:t>
      </w:r>
      <w:r>
        <w:rPr>
          <w:b/>
          <w:i w:val="0"/>
          <w:smallCaps w:val="0"/>
          <w:strike w:val="0"/>
          <w:sz w:val="28"/>
          <w:highlight w:val="cyan"/>
          <w:u w:val="single"/>
        </w:rPr>
        <w:t>this data provides a</w:t>
      </w:r>
      <w:r>
        <w:rPr>
          <w:b/>
          <w:i w:val="0"/>
          <w:smallCaps w:val="0"/>
          <w:strike w:val="0"/>
          <w:sz w:val="28"/>
          <w:u w:val="single"/>
        </w:rPr>
        <w:t xml:space="preserve"> concerning, </w:t>
      </w:r>
      <w:r>
        <w:rPr>
          <w:b/>
          <w:i w:val="0"/>
          <w:smallCaps w:val="0"/>
          <w:strike w:val="0"/>
          <w:sz w:val="28"/>
          <w:highlight w:val="cyan"/>
          <w:u w:val="single"/>
        </w:rPr>
        <w:t xml:space="preserve">early-stage warning of a </w:t>
      </w:r>
      <w:r>
        <w:rPr>
          <w:b/>
          <w:i w:val="0"/>
          <w:smallCaps w:val="0"/>
          <w:strike w:val="0"/>
          <w:sz w:val="28"/>
          <w:highlight w:val="cyan"/>
          <w:u w:val="single"/>
        </w:rPr>
        <w:t>shift in technological leadership</w:t>
      </w:r>
      <w:r>
        <w:rPr>
          <w:b/>
          <w:i w:val="0"/>
          <w:smallCaps w:val="0"/>
          <w:strike w:val="0"/>
          <w:sz w:val="28"/>
          <w:highlight w:val="cyan"/>
          <w:u w:val="single"/>
        </w:rPr>
        <w:t xml:space="preserve"> to these other countries</w:t>
      </w:r>
      <w:r>
        <w:rPr>
          <w:b w:val="0"/>
          <w:i w:val="0"/>
          <w:smallCaps w:val="0"/>
          <w:strike w:val="0"/>
          <w:sz w:val="20"/>
          <w:u w:val="none"/>
        </w:rPr>
        <w:t>—</w:t>
      </w:r>
      <w:r>
        <w:rPr>
          <w:b/>
          <w:i w:val="0"/>
          <w:smallCaps w:val="0"/>
          <w:strike w:val="0"/>
          <w:sz w:val="28"/>
          <w:highlight w:val="cyan"/>
          <w:u w:val="single"/>
        </w:rPr>
        <w:t>companies are most likely to want to be located where they can secure returns on their investments in research and development</w:t>
      </w:r>
      <w:r>
        <w:rPr>
          <w:b w:val="0"/>
          <w:i w:val="0"/>
          <w:smallCaps w:val="0"/>
          <w:strike w:val="0"/>
          <w:sz w:val="20"/>
          <w:u w:val="none"/>
        </w:rPr>
        <w:t xml:space="preserve">, and </w:t>
      </w:r>
      <w:r>
        <w:rPr>
          <w:b/>
          <w:i w:val="0"/>
          <w:smallCaps w:val="0"/>
          <w:strike w:val="0"/>
          <w:sz w:val="28"/>
          <w:u w:val="single"/>
        </w:rPr>
        <w:t>venture capital is most likely to want to invest in those geographic locations</w:t>
      </w:r>
      <w:r>
        <w:rPr>
          <w:b w:val="0"/>
          <w:i w:val="0"/>
          <w:smallCaps w:val="0"/>
          <w:strike w:val="0"/>
          <w:sz w:val="20"/>
          <w:u w:val="none"/>
        </w:rPr>
        <w:t xml:space="preserve"> as well.  </w:t>
      </w:r>
      <w:r>
        <w:rPr>
          <w:b/>
          <w:i w:val="0"/>
          <w:smallCaps w:val="0"/>
          <w:strike w:val="0"/>
          <w:sz w:val="28"/>
          <w:highlight w:val="cyan"/>
          <w:u w:val="single"/>
        </w:rPr>
        <w:t xml:space="preserve">As new </w:t>
      </w:r>
      <w:r>
        <w:rPr>
          <w:b/>
          <w:i w:val="0"/>
          <w:smallCaps w:val="0"/>
          <w:strike w:val="0"/>
          <w:sz w:val="28"/>
          <w:highlight w:val="cyan"/>
          <w:u w:val="single"/>
        </w:rPr>
        <w:t>technology hubs are created</w:t>
      </w:r>
      <w:r>
        <w:rPr>
          <w:b/>
          <w:i w:val="0"/>
          <w:smallCaps w:val="0"/>
          <w:strike w:val="0"/>
          <w:sz w:val="28"/>
          <w:highlight w:val="cyan"/>
          <w:u w:val="single"/>
        </w:rPr>
        <w:t>, they are naturally the destinations for the next generation of innovators</w:t>
      </w:r>
      <w:r>
        <w:rPr>
          <w:b/>
          <w:i w:val="0"/>
          <w:smallCaps w:val="0"/>
          <w:strike w:val="0"/>
          <w:sz w:val="28"/>
          <w:u w:val="single"/>
        </w:rPr>
        <w:t xml:space="preserve"> and entrepreneurs</w:t>
      </w:r>
      <w:r>
        <w:rPr>
          <w:b w:val="0"/>
          <w:i w:val="0"/>
          <w:smallCaps w:val="0"/>
          <w:strike w:val="0"/>
          <w:sz w:val="20"/>
          <w:u w:val="none"/>
        </w:rPr>
        <w:t xml:space="preserve">.  While the U.S. has established technology hubs already that may obscure the beginning of this shift elsewhere, </w:t>
      </w:r>
      <w:r>
        <w:rPr>
          <w:b/>
          <w:i w:val="0"/>
          <w:smallCaps w:val="0"/>
          <w:strike w:val="0"/>
          <w:sz w:val="28"/>
          <w:u w:val="single"/>
        </w:rPr>
        <w:t>it will take the U.S. a long time to recover if the next generation of technologies are based on innovation centers in other countries</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