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Our evidence reflects an </w:t>
      </w:r>
      <w:r>
        <w:rPr>
          <w:b/>
          <w:i w:val="0"/>
          <w:smallCaps w:val="0"/>
          <w:strike w:val="0"/>
          <w:sz w:val="28"/>
          <w:u w:val="single"/>
        </w:rPr>
        <w:t>overwhelming consensus</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i w:val="0"/>
          <w:smallCaps w:val="0"/>
          <w:strike w:val="0"/>
          <w:sz w:val="28"/>
          <w:highlight w:val="cyan"/>
          <w:u w:val="single"/>
        </w:rPr>
        <w:t>Patent eligibility law</w:t>
      </w:r>
      <w:r>
        <w:rPr>
          <w:b w:val="0"/>
          <w:i w:val="0"/>
          <w:smallCaps w:val="0"/>
          <w:strike w:val="0"/>
          <w:sz w:val="20"/>
          <w:u w:val="none"/>
        </w:rPr>
        <w:t xml:space="preserve"> in the United States </w:t>
      </w:r>
      <w:r>
        <w:rPr>
          <w:b/>
          <w:i w:val="0"/>
          <w:smallCaps w:val="0"/>
          <w:strike w:val="0"/>
          <w:sz w:val="28"/>
          <w:highlight w:val="cyan"/>
          <w:u w:val="single"/>
        </w:rPr>
        <w:t>is in</w:t>
      </w:r>
      <w:r>
        <w:rPr>
          <w:b/>
          <w:i w:val="0"/>
          <w:smallCaps w:val="0"/>
          <w:strike w:val="0"/>
          <w:sz w:val="28"/>
          <w:u w:val="single"/>
        </w:rPr>
        <w:t xml:space="preserve"> a state of </w:t>
      </w:r>
      <w:r>
        <w:rPr>
          <w:b/>
          <w:i w:val="0"/>
          <w:smallCaps w:val="0"/>
          <w:strike w:val="0"/>
          <w:sz w:val="28"/>
          <w:highlight w:val="cyan"/>
          <w:u w:val="single"/>
        </w:rPr>
        <w:t>disarray that has led to inconsistent court decisions</w:t>
      </w:r>
      <w:r>
        <w:rPr>
          <w:b/>
          <w:i w:val="0"/>
          <w:smallCaps w:val="0"/>
          <w:strike w:val="0"/>
          <w:sz w:val="28"/>
          <w:u w:val="single"/>
        </w:rPr>
        <w:t xml:space="preserve">, deep concern for the availability and reliability of patent protection </w:t>
      </w:r>
      <w:r>
        <w:rPr>
          <w:b w:val="0"/>
          <w:i w:val="0"/>
          <w:smallCaps w:val="0"/>
          <w:strike w:val="0"/>
          <w:sz w:val="20"/>
          <w:u w:val="none"/>
        </w:rPr>
        <w:t xml:space="preserve">in the innovative, investment and legal communities, </w:t>
      </w:r>
      <w:r>
        <w:rPr>
          <w:b/>
          <w:i w:val="0"/>
          <w:smallCaps w:val="0"/>
          <w:strike w:val="0"/>
          <w:sz w:val="28"/>
          <w:highlight w:val="cyan"/>
          <w:u w:val="single"/>
        </w:rPr>
        <w:t xml:space="preserve">and </w:t>
      </w:r>
      <w:r>
        <w:rPr>
          <w:b/>
          <w:i w:val="0"/>
          <w:smallCaps w:val="0"/>
          <w:strike w:val="0"/>
          <w:sz w:val="28"/>
          <w:highlight w:val="cyan"/>
          <w:u w:val="single"/>
        </w:rPr>
        <w:t>innovation-killing outcomes</w:t>
      </w:r>
      <w:r>
        <w:rPr>
          <w:b/>
          <w:i w:val="0"/>
          <w:smallCaps w:val="0"/>
          <w:strike w:val="0"/>
          <w:sz w:val="28"/>
          <w:highlight w:val="cyan"/>
          <w:u w:val="single"/>
        </w:rPr>
        <w:t xml:space="preserve"> in patent prosecution</w:t>
      </w:r>
      <w:r>
        <w:rPr>
          <w:b/>
          <w:i w:val="0"/>
          <w:smallCaps w:val="0"/>
          <w:strike w:val="0"/>
          <w:sz w:val="28"/>
          <w:u w:val="single"/>
        </w:rPr>
        <w:t xml:space="preserve"> and litigation</w:t>
      </w:r>
      <w:r>
        <w:rPr>
          <w:b w:val="0"/>
          <w:i w:val="0"/>
          <w:smallCaps w:val="0"/>
          <w:strike w:val="0"/>
          <w:sz w:val="20"/>
          <w:u w:val="none"/>
        </w:rPr>
        <w:t xml:space="preserve">.  </w:t>
      </w:r>
      <w:r>
        <w:rPr>
          <w:b/>
          <w:i w:val="0"/>
          <w:smallCaps w:val="0"/>
          <w:strike w:val="0"/>
          <w:sz w:val="28"/>
          <w:highlight w:val="cyan"/>
          <w:u w:val="single"/>
        </w:rPr>
        <w:t xml:space="preserve">These facts have been extensively documented in </w:t>
      </w:r>
      <w:r>
        <w:rPr>
          <w:b/>
          <w:i w:val="0"/>
          <w:smallCaps w:val="0"/>
          <w:strike w:val="0"/>
          <w:sz w:val="28"/>
          <w:u w:val="single"/>
        </w:rPr>
        <w:t xml:space="preserve">numerous sources, including: the statements of </w:t>
      </w:r>
      <w:r>
        <w:rPr>
          <w:b/>
          <w:i w:val="0"/>
          <w:smallCaps w:val="0"/>
          <w:strike w:val="0"/>
          <w:sz w:val="28"/>
          <w:highlight w:val="cyan"/>
          <w:u w:val="single"/>
        </w:rPr>
        <w:t>all 12 active judges</w:t>
      </w:r>
      <w:r>
        <w:rPr>
          <w:b w:val="0"/>
          <w:i w:val="0"/>
          <w:smallCaps w:val="0"/>
          <w:strike w:val="0"/>
          <w:sz w:val="20"/>
          <w:u w:val="none"/>
        </w:rPr>
        <w:t xml:space="preserve"> (as of 2021) </w:t>
      </w:r>
      <w:r>
        <w:rPr>
          <w:b/>
          <w:i w:val="0"/>
          <w:smallCaps w:val="0"/>
          <w:strike w:val="0"/>
          <w:sz w:val="28"/>
          <w:highlight w:val="cyan"/>
          <w:u w:val="single"/>
        </w:rPr>
        <w:t>of the nation’s</w:t>
      </w:r>
      <w:r>
        <w:rPr>
          <w:b/>
          <w:i w:val="0"/>
          <w:smallCaps w:val="0"/>
          <w:strike w:val="0"/>
          <w:sz w:val="28"/>
          <w:u w:val="single"/>
        </w:rPr>
        <w:t xml:space="preserve"> only </w:t>
      </w:r>
      <w:r>
        <w:rPr>
          <w:b/>
          <w:i w:val="0"/>
          <w:smallCaps w:val="0"/>
          <w:strike w:val="0"/>
          <w:sz w:val="28"/>
          <w:highlight w:val="cyan"/>
          <w:u w:val="single"/>
        </w:rPr>
        <w:t>patent court</w:t>
      </w:r>
      <w:r>
        <w:rPr>
          <w:b w:val="0"/>
          <w:i w:val="0"/>
          <w:smallCaps w:val="0"/>
          <w:strike w:val="0"/>
          <w:sz w:val="20"/>
          <w:u w:val="none"/>
        </w:rPr>
        <w:t xml:space="preserve">, the U.S. Court of Appeals for the Federal Circuit; </w:t>
      </w:r>
      <w:r>
        <w:rPr>
          <w:b/>
          <w:i w:val="0"/>
          <w:smallCaps w:val="0"/>
          <w:strike w:val="0"/>
          <w:sz w:val="28"/>
          <w:u w:val="single"/>
        </w:rPr>
        <w:t xml:space="preserve">the findings and reports of the Executive branch across all recent Administrations; the bi-partisan conclusions of Congressional committees; </w:t>
      </w:r>
      <w:r>
        <w:rPr>
          <w:b/>
          <w:i w:val="0"/>
          <w:smallCaps w:val="0"/>
          <w:strike w:val="0"/>
          <w:sz w:val="28"/>
          <w:highlight w:val="cyan"/>
          <w:u w:val="single"/>
        </w:rPr>
        <w:t xml:space="preserve">a robust body of academic studies; and </w:t>
      </w:r>
      <w:r>
        <w:rPr>
          <w:b/>
          <w:i w:val="0"/>
          <w:smallCaps w:val="0"/>
          <w:strike w:val="0"/>
          <w:sz w:val="28"/>
          <w:u w:val="single"/>
        </w:rPr>
        <w:t xml:space="preserve">at least </w:t>
      </w:r>
      <w:r>
        <w:rPr>
          <w:b/>
          <w:i w:val="0"/>
          <w:smallCaps w:val="0"/>
          <w:strike w:val="0"/>
          <w:sz w:val="28"/>
          <w:highlight w:val="cyan"/>
          <w:u w:val="single"/>
        </w:rPr>
        <w:t>forty separate witness statements</w:t>
      </w:r>
      <w:r>
        <w:rPr>
          <w:b w:val="0"/>
          <w:i w:val="0"/>
          <w:smallCaps w:val="0"/>
          <w:strike w:val="0"/>
          <w:sz w:val="20"/>
          <w:u w:val="none"/>
        </w:rPr>
        <w:t xml:space="preserve"> at the 2019 hearings on this issue before this Subcommittee, including statements from advocates that oppose Section 101 reforms.</w:t>
      </w:r>
    </w:p>
    <w:p>
      <w:pPr>
        <w:spacing w:after="60"/>
      </w:pPr>
      <w:r>
        <w:rPr>
          <w:b/>
          <w:i w:val="0"/>
          <w:smallCaps w:val="0"/>
          <w:strike w:val="0"/>
          <w:sz w:val="28"/>
          <w:highlight w:val="cyan"/>
          <w:u w:val="single"/>
        </w:rPr>
        <w:t xml:space="preserve">Even a </w:t>
      </w:r>
      <w:r>
        <w:rPr>
          <w:b/>
          <w:i w:val="0"/>
          <w:smallCaps w:val="0"/>
          <w:strike w:val="0"/>
          <w:sz w:val="28"/>
          <w:u w:val="single"/>
        </w:rPr>
        <w:t>lone recent</w:t>
      </w:r>
      <w:r>
        <w:rPr>
          <w:b/>
          <w:i w:val="0"/>
          <w:smallCaps w:val="0"/>
          <w:strike w:val="0"/>
          <w:sz w:val="28"/>
          <w:highlight w:val="cyan"/>
          <w:u w:val="single"/>
        </w:rPr>
        <w:t xml:space="preserve"> article</w:t>
      </w:r>
      <w:r>
        <w:rPr>
          <w:b w:val="0"/>
          <w:i w:val="0"/>
          <w:smallCaps w:val="0"/>
          <w:strike w:val="0"/>
          <w:sz w:val="20"/>
          <w:u w:val="none"/>
        </w:rPr>
        <w:t xml:space="preserve">1 </w:t>
      </w:r>
      <w:r>
        <w:rPr>
          <w:b/>
          <w:i w:val="0"/>
          <w:smallCaps w:val="0"/>
          <w:strike w:val="0"/>
          <w:sz w:val="28"/>
          <w:highlight w:val="cyan"/>
          <w:u w:val="single"/>
        </w:rPr>
        <w:t>downplaying the dismal state of affairs acknowledged</w:t>
      </w:r>
      <w:r>
        <w:rPr>
          <w:b w:val="0"/>
          <w:i w:val="0"/>
          <w:smallCaps w:val="0"/>
          <w:strike w:val="0"/>
          <w:sz w:val="20"/>
          <w:u w:val="none"/>
        </w:rPr>
        <w:t xml:space="preserve"> that </w:t>
      </w:r>
      <w:r>
        <w:rPr>
          <w:b/>
          <w:i w:val="0"/>
          <w:smallCaps w:val="0"/>
          <w:strike w:val="0"/>
          <w:sz w:val="28"/>
          <w:u w:val="single"/>
        </w:rPr>
        <w:t>“[</w:t>
      </w:r>
      <w:r>
        <w:rPr>
          <w:b/>
          <w:i w:val="0"/>
          <w:smallCaps w:val="0"/>
          <w:strike w:val="0"/>
          <w:sz w:val="28"/>
          <w:highlight w:val="cyan"/>
          <w:u w:val="single"/>
        </w:rPr>
        <w:t>t]oo many critics to count</w:t>
      </w:r>
      <w:r>
        <w:rPr>
          <w:b/>
          <w:i w:val="0"/>
          <w:smallCaps w:val="0"/>
          <w:strike w:val="0"/>
          <w:sz w:val="28"/>
          <w:u w:val="single"/>
        </w:rPr>
        <w:t>—</w:t>
      </w:r>
      <w:r>
        <w:rPr>
          <w:b w:val="0"/>
          <w:i w:val="0"/>
          <w:smallCaps w:val="0"/>
          <w:strike w:val="0"/>
          <w:sz w:val="20"/>
          <w:u w:val="none"/>
        </w:rPr>
        <w:t xml:space="preserve">including academics, practitioners, legislators, and judges—have </w:t>
      </w:r>
      <w:r>
        <w:rPr>
          <w:b/>
          <w:i w:val="0"/>
          <w:smallCaps w:val="0"/>
          <w:strike w:val="0"/>
          <w:sz w:val="28"/>
          <w:highlight w:val="cyan"/>
          <w:u w:val="single"/>
        </w:rPr>
        <w:t>lambasted</w:t>
      </w:r>
      <w:r>
        <w:rPr>
          <w:b/>
          <w:i w:val="0"/>
          <w:smallCaps w:val="0"/>
          <w:strike w:val="0"/>
          <w:sz w:val="28"/>
          <w:u w:val="single"/>
        </w:rPr>
        <w:t xml:space="preserve"> the </w:t>
      </w:r>
      <w:r>
        <w:rPr>
          <w:b/>
          <w:i w:val="0"/>
          <w:smallCaps w:val="0"/>
          <w:strike w:val="0"/>
          <w:sz w:val="28"/>
          <w:highlight w:val="cyan"/>
          <w:u w:val="single"/>
        </w:rPr>
        <w:t>patent eligibility</w:t>
      </w:r>
      <w:r>
        <w:rPr>
          <w:b/>
          <w:i w:val="0"/>
          <w:smallCaps w:val="0"/>
          <w:strike w:val="0"/>
          <w:sz w:val="28"/>
          <w:u w:val="single"/>
        </w:rPr>
        <w:t xml:space="preserve"> framework </w:t>
      </w:r>
      <w:r>
        <w:rPr>
          <w:b/>
          <w:i w:val="0"/>
          <w:smallCaps w:val="0"/>
          <w:strike w:val="0"/>
          <w:sz w:val="28"/>
          <w:highlight w:val="cyan"/>
          <w:u w:val="single"/>
        </w:rPr>
        <w:t xml:space="preserve">as an </w:t>
      </w:r>
      <w:r>
        <w:rPr>
          <w:b/>
          <w:i w:val="0"/>
          <w:smallCaps w:val="0"/>
          <w:strike w:val="0"/>
          <w:sz w:val="28"/>
          <w:highlight w:val="cyan"/>
          <w:u w:val="single"/>
        </w:rPr>
        <w:t xml:space="preserve">unpredictable </w:t>
      </w:r>
      <w:r>
        <w:rPr>
          <w:b/>
          <w:i w:val="0"/>
          <w:smallCaps w:val="0"/>
          <w:strike w:val="0"/>
          <w:sz w:val="28"/>
          <w:highlight w:val="cyan"/>
          <w:u w:val="single"/>
        </w:rPr>
        <w:t>morass of confusion</w:t>
      </w:r>
      <w:r>
        <w:rPr>
          <w:b w:val="0"/>
          <w:i w:val="0"/>
          <w:smallCaps w:val="0"/>
          <w:strike w:val="0"/>
          <w:sz w:val="20"/>
          <w:u w:val="none"/>
        </w:rPr>
        <w:t xml:space="preserve">.”  </w:t>
      </w:r>
      <w:r>
        <w:rPr>
          <w:b/>
          <w:i w:val="0"/>
          <w:smallCaps w:val="0"/>
          <w:strike w:val="0"/>
          <w:sz w:val="28"/>
          <w:u w:val="single"/>
        </w:rPr>
        <w:t xml:space="preserve">That same article relied on a single point to counter </w:t>
      </w:r>
      <w:r>
        <w:rPr>
          <w:b/>
          <w:i w:val="0"/>
          <w:smallCaps w:val="0"/>
          <w:strike w:val="0"/>
          <w:sz w:val="28"/>
          <w:highlight w:val="cyan"/>
          <w:u w:val="single"/>
        </w:rPr>
        <w:t xml:space="preserve">the </w:t>
      </w:r>
      <w:r>
        <w:rPr>
          <w:b/>
          <w:i w:val="0"/>
          <w:smallCaps w:val="0"/>
          <w:strike w:val="0"/>
          <w:sz w:val="28"/>
          <w:highlight w:val="cyan"/>
          <w:u w:val="single"/>
        </w:rPr>
        <w:t>overwhelming consensus</w:t>
      </w:r>
      <w:r>
        <w:rPr>
          <w:b/>
          <w:i w:val="0"/>
          <w:smallCaps w:val="0"/>
          <w:strike w:val="0"/>
          <w:sz w:val="28"/>
          <w:highlight w:val="cyan"/>
          <w:u w:val="single"/>
        </w:rPr>
        <w:t>—</w:t>
      </w:r>
      <w:r>
        <w:rPr>
          <w:b/>
          <w:i w:val="0"/>
          <w:smallCaps w:val="0"/>
          <w:strike w:val="0"/>
          <w:sz w:val="28"/>
          <w:u w:val="single"/>
        </w:rPr>
        <w:t>evidence of a high affirmance rate on Section 101 decisions</w:t>
      </w:r>
      <w:r>
        <w:rPr>
          <w:b w:val="0"/>
          <w:i w:val="0"/>
          <w:smallCaps w:val="0"/>
          <w:strike w:val="0"/>
          <w:sz w:val="20"/>
          <w:u w:val="none"/>
        </w:rPr>
        <w:t xml:space="preserve">.  </w:t>
      </w:r>
      <w:r>
        <w:rPr>
          <w:b/>
          <w:i w:val="0"/>
          <w:smallCaps w:val="0"/>
          <w:strike w:val="0"/>
          <w:sz w:val="28"/>
          <w:u w:val="single"/>
        </w:rPr>
        <w:t>What that evidence actually shows</w:t>
      </w:r>
      <w:r>
        <w:rPr>
          <w:b w:val="0"/>
          <w:i w:val="0"/>
          <w:smallCaps w:val="0"/>
          <w:strike w:val="0"/>
          <w:sz w:val="20"/>
          <w:u w:val="none"/>
        </w:rPr>
        <w:t>,</w:t>
      </w:r>
      <w:r>
        <w:rPr>
          <w:b w:val="0"/>
          <w:i w:val="0"/>
          <w:smallCaps w:val="0"/>
          <w:strike w:val="0"/>
          <w:sz w:val="20"/>
          <w:u w:val="none"/>
        </w:rPr>
        <w:t xml:space="preserve"> however</w:t>
      </w:r>
      <w:r>
        <w:rPr>
          <w:b w:val="0"/>
          <w:i w:val="0"/>
          <w:smallCaps w:val="0"/>
          <w:strike w:val="0"/>
          <w:sz w:val="20"/>
          <w:highlight w:val="cyan"/>
          <w:u w:val="none"/>
        </w:rPr>
        <w:t xml:space="preserve">, </w:t>
      </w:r>
      <w:r>
        <w:rPr>
          <w:b/>
          <w:i w:val="0"/>
          <w:smallCaps w:val="0"/>
          <w:strike w:val="0"/>
          <w:sz w:val="28"/>
          <w:highlight w:val="cyan"/>
          <w:u w:val="single"/>
        </w:rPr>
        <w:t>is that</w:t>
      </w:r>
      <w:r>
        <w:rPr>
          <w:b/>
          <w:i w:val="0"/>
          <w:smallCaps w:val="0"/>
          <w:strike w:val="0"/>
          <w:sz w:val="28"/>
          <w:u w:val="single"/>
        </w:rPr>
        <w:t xml:space="preserve"> due to the uncertainty, </w:t>
      </w:r>
      <w:r>
        <w:rPr>
          <w:b/>
          <w:i w:val="0"/>
          <w:smallCaps w:val="0"/>
          <w:strike w:val="0"/>
          <w:sz w:val="28"/>
          <w:highlight w:val="cyan"/>
          <w:u w:val="single"/>
        </w:rPr>
        <w:t>innovators are avoiding investment in costly eligibility disputes</w:t>
      </w:r>
      <w:r>
        <w:rPr>
          <w:b/>
          <w:i w:val="0"/>
          <w:smallCaps w:val="0"/>
          <w:strike w:val="0"/>
          <w:sz w:val="28"/>
          <w:u w:val="single"/>
        </w:rPr>
        <w:t xml:space="preserve"> </w:t>
      </w:r>
      <w:r>
        <w:rPr>
          <w:b/>
          <w:i w:val="0"/>
          <w:smallCaps w:val="0"/>
          <w:strike w:val="0"/>
          <w:sz w:val="28"/>
          <w:highlight w:val="cyan"/>
          <w:u w:val="single"/>
        </w:rPr>
        <w:t>in all but the most clear-cut cases</w:t>
      </w:r>
      <w:r>
        <w:rPr>
          <w:b w:val="0"/>
          <w:i w:val="0"/>
          <w:smallCaps w:val="0"/>
          <w:strike w:val="0"/>
          <w:sz w:val="20"/>
          <w:u w:val="none"/>
        </w:rPr>
        <w:t xml:space="preserve">, </w:t>
      </w:r>
      <w:r>
        <w:rPr>
          <w:b/>
          <w:i w:val="0"/>
          <w:smallCaps w:val="0"/>
          <w:strike w:val="0"/>
          <w:sz w:val="28"/>
          <w:u w:val="single"/>
        </w:rPr>
        <w:t xml:space="preserve">that </w:t>
      </w:r>
      <w:r>
        <w:rPr>
          <w:b/>
          <w:i w:val="0"/>
          <w:smallCaps w:val="0"/>
          <w:strike w:val="0"/>
          <w:sz w:val="28"/>
          <w:highlight w:val="cyan"/>
          <w:u w:val="single"/>
        </w:rPr>
        <w:t>lower courts are erring on the side of ineligibility</w:t>
      </w:r>
      <w:r>
        <w:rPr>
          <w:b/>
          <w:i w:val="0"/>
          <w:smallCaps w:val="0"/>
          <w:strike w:val="0"/>
          <w:sz w:val="28"/>
          <w:u w:val="single"/>
        </w:rPr>
        <w:t xml:space="preserve"> in line with the signals coming out of the higher courts, and that the higher courts do not have clear standards to rely on to overturn ineligibility decisions of the lower courts</w:t>
      </w:r>
      <w:r>
        <w:rPr>
          <w:b w:val="0"/>
          <w:i w:val="0"/>
          <w:smallCaps w:val="0"/>
          <w:strike w:val="0"/>
          <w:sz w:val="20"/>
          <w:u w:val="none"/>
        </w:rPr>
        <w:t xml:space="preserve">.  If anything, this is further evidence that nothing is working with Section 101—nothing.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