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w:t>
      </w:r>
      <w:r>
        <w:rPr>
          <w:b/>
          <w:i w:val="0"/>
          <w:smallCaps w:val="0"/>
          <w:strike w:val="0"/>
          <w:sz w:val="28"/>
          <w:u w:val="none"/>
        </w:rPr>
        <w:t>’s improved language</w:t>
      </w:r>
      <w:r>
        <w:rPr>
          <w:b/>
          <w:i w:val="0"/>
          <w:smallCaps w:val="0"/>
          <w:strike w:val="0"/>
          <w:sz w:val="28"/>
          <w:u w:val="none"/>
        </w:rPr>
        <w:t xml:space="preserve"> immediately ends uncertainty  - even with litigation</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Responses to Questions from Senator Alex Padilla,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RESPONSE TO QUESTION 5:  </w:t>
      </w:r>
      <w:r>
        <w:rPr>
          <w:b/>
          <w:i w:val="0"/>
          <w:smallCaps w:val="0"/>
          <w:strike w:val="0"/>
          <w:sz w:val="28"/>
          <w:u w:val="single"/>
        </w:rPr>
        <w:t>Once Congress finalizes</w:t>
      </w:r>
      <w:r>
        <w:rPr>
          <w:b w:val="0"/>
          <w:i w:val="0"/>
          <w:smallCaps w:val="0"/>
          <w:strike w:val="0"/>
          <w:sz w:val="20"/>
          <w:u w:val="none"/>
        </w:rPr>
        <w:t xml:space="preserve"> the contours of </w:t>
      </w:r>
      <w:r>
        <w:rPr>
          <w:b/>
          <w:i w:val="0"/>
          <w:smallCaps w:val="0"/>
          <w:strike w:val="0"/>
          <w:sz w:val="28"/>
          <w:highlight w:val="cyan"/>
          <w:u w:val="single"/>
        </w:rPr>
        <w:t>PERA</w:t>
      </w:r>
      <w:r>
        <w:rPr>
          <w:b w:val="0"/>
          <w:i w:val="0"/>
          <w:smallCaps w:val="0"/>
          <w:strike w:val="0"/>
          <w:sz w:val="20"/>
          <w:u w:val="none"/>
        </w:rPr>
        <w:t xml:space="preserve"> and passes it into law, </w:t>
      </w:r>
      <w:r>
        <w:rPr>
          <w:b/>
          <w:i w:val="0"/>
          <w:smallCaps w:val="0"/>
          <w:strike w:val="0"/>
          <w:sz w:val="28"/>
          <w:u w:val="single"/>
        </w:rPr>
        <w:t xml:space="preserve">it </w:t>
      </w:r>
      <w:r>
        <w:rPr>
          <w:b/>
          <w:i w:val="0"/>
          <w:smallCaps w:val="0"/>
          <w:strike w:val="0"/>
          <w:sz w:val="28"/>
          <w:highlight w:val="cyan"/>
          <w:u w:val="single"/>
        </w:rPr>
        <w:t>will bring</w:t>
      </w:r>
      <w:r>
        <w:rPr>
          <w:b w:val="0"/>
          <w:i w:val="0"/>
          <w:smallCaps w:val="0"/>
          <w:strike w:val="0"/>
          <w:sz w:val="20"/>
          <w:u w:val="none"/>
        </w:rPr>
        <w:t xml:space="preserve"> an </w:t>
      </w:r>
      <w:r>
        <w:rPr>
          <w:b/>
          <w:i w:val="0"/>
          <w:smallCaps w:val="0"/>
          <w:strike w:val="0"/>
          <w:sz w:val="28"/>
          <w:highlight w:val="cyan"/>
          <w:u w:val="single"/>
        </w:rPr>
        <w:t>immediate</w:t>
      </w:r>
      <w:r>
        <w:rPr>
          <w:b w:val="0"/>
          <w:i w:val="0"/>
          <w:smallCaps w:val="0"/>
          <w:strike w:val="0"/>
          <w:sz w:val="20"/>
          <w:u w:val="none"/>
        </w:rPr>
        <w:t xml:space="preserve"> amount of </w:t>
      </w:r>
      <w:r>
        <w:rPr>
          <w:b/>
          <w:i w:val="0"/>
          <w:smallCaps w:val="0"/>
          <w:strike w:val="0"/>
          <w:sz w:val="28"/>
          <w:highlight w:val="cyan"/>
          <w:u w:val="single"/>
        </w:rPr>
        <w:t xml:space="preserve">certainty </w:t>
      </w:r>
      <w:r>
        <w:rPr>
          <w:b/>
          <w:i w:val="0"/>
          <w:smallCaps w:val="0"/>
          <w:strike w:val="0"/>
          <w:sz w:val="28"/>
          <w:highlight w:val="cyan"/>
          <w:u w:val="single"/>
        </w:rPr>
        <w:t>to Section 101</w:t>
      </w:r>
      <w:r>
        <w:rPr>
          <w:b w:val="0"/>
          <w:i w:val="0"/>
          <w:smallCaps w:val="0"/>
          <w:strike w:val="0"/>
          <w:sz w:val="20"/>
          <w:u w:val="none"/>
        </w:rPr>
        <w:t xml:space="preserve">.  It will do this </w:t>
      </w:r>
      <w:r>
        <w:rPr>
          <w:b/>
          <w:i w:val="0"/>
          <w:smallCaps w:val="0"/>
          <w:strike w:val="0"/>
          <w:sz w:val="28"/>
          <w:highlight w:val="cyan"/>
          <w:u w:val="single"/>
        </w:rPr>
        <w:t>by eliminating</w:t>
      </w:r>
      <w:r>
        <w:rPr>
          <w:b/>
          <w:i w:val="0"/>
          <w:smallCaps w:val="0"/>
          <w:strike w:val="0"/>
          <w:sz w:val="28"/>
          <w:u w:val="single"/>
        </w:rPr>
        <w:t xml:space="preserve"> the </w:t>
      </w:r>
      <w:r>
        <w:rPr>
          <w:b/>
          <w:i w:val="0"/>
          <w:smallCaps w:val="0"/>
          <w:strike w:val="0"/>
          <w:sz w:val="28"/>
          <w:highlight w:val="cyan"/>
          <w:u w:val="single"/>
        </w:rPr>
        <w:t>judicial exceptions</w:t>
      </w:r>
      <w:r>
        <w:rPr>
          <w:b w:val="0"/>
          <w:i w:val="0"/>
          <w:smallCaps w:val="0"/>
          <w:strike w:val="0"/>
          <w:sz w:val="20"/>
          <w:u w:val="none"/>
        </w:rPr>
        <w:t xml:space="preserve">, which have proven to be unworkable over the past decade, and replacing them with a clear articulation of what is a patent-eligible invention and what is not.  This structure of defined matter that is not an invention, such as “mathematical formulas,” is much more amenable to judicial interpretation than amorphous terms like “abstract idea.”  </w:t>
      </w:r>
      <w:r>
        <w:rPr>
          <w:b/>
          <w:i w:val="0"/>
          <w:smallCaps w:val="0"/>
          <w:strike w:val="0"/>
          <w:sz w:val="28"/>
          <w:highlight w:val="cyan"/>
          <w:u w:val="single"/>
        </w:rPr>
        <w:t>While there will always be litigation</w:t>
      </w:r>
      <w:r>
        <w:rPr>
          <w:b/>
          <w:i w:val="0"/>
          <w:smallCaps w:val="0"/>
          <w:strike w:val="0"/>
          <w:sz w:val="28"/>
          <w:u w:val="single"/>
        </w:rPr>
        <w:t xml:space="preserve"> </w:t>
      </w:r>
      <w:r>
        <w:rPr>
          <w:b w:val="0"/>
          <w:i w:val="0"/>
          <w:smallCaps w:val="0"/>
          <w:strike w:val="0"/>
          <w:sz w:val="20"/>
          <w:u w:val="none"/>
        </w:rPr>
        <w:t xml:space="preserve">at the outer edge of any term’s meaning, </w:t>
      </w:r>
      <w:r>
        <w:rPr>
          <w:b/>
          <w:i w:val="0"/>
          <w:smallCaps w:val="0"/>
          <w:strike w:val="0"/>
          <w:sz w:val="28"/>
          <w:highlight w:val="cyan"/>
          <w:u w:val="single"/>
        </w:rPr>
        <w:t>the language of PERA starts</w:t>
      </w:r>
      <w:r>
        <w:rPr>
          <w:b/>
          <w:i w:val="0"/>
          <w:smallCaps w:val="0"/>
          <w:strike w:val="0"/>
          <w:sz w:val="28"/>
          <w:u w:val="single"/>
        </w:rPr>
        <w:t xml:space="preserve"> off by </w:t>
      </w:r>
      <w:r>
        <w:rPr>
          <w:b/>
          <w:i w:val="0"/>
          <w:smallCaps w:val="0"/>
          <w:strike w:val="0"/>
          <w:sz w:val="28"/>
          <w:highlight w:val="cyan"/>
          <w:u w:val="single"/>
        </w:rPr>
        <w:t>being much more concrete</w:t>
      </w:r>
      <w:r>
        <w:rPr>
          <w:b w:val="0"/>
          <w:i w:val="0"/>
          <w:smallCaps w:val="0"/>
          <w:strike w:val="0"/>
          <w:sz w:val="20"/>
          <w:u w:val="none"/>
        </w:rPr>
        <w:t xml:space="preserve">.  Importantly, </w:t>
      </w:r>
      <w:r>
        <w:rPr>
          <w:b/>
          <w:i w:val="0"/>
          <w:smallCaps w:val="0"/>
          <w:strike w:val="0"/>
          <w:sz w:val="28"/>
          <w:highlight w:val="cyan"/>
          <w:u w:val="single"/>
        </w:rPr>
        <w:t>this will</w:t>
      </w:r>
      <w:r>
        <w:rPr>
          <w:b/>
          <w:i w:val="0"/>
          <w:smallCaps w:val="0"/>
          <w:strike w:val="0"/>
          <w:sz w:val="28"/>
          <w:u w:val="single"/>
        </w:rPr>
        <w:t xml:space="preserve"> not only help examiners and j</w:t>
      </w:r>
      <w:r>
        <w:rPr>
          <w:b/>
          <w:i w:val="0"/>
          <w:smallCaps w:val="0"/>
          <w:strike w:val="0"/>
          <w:sz w:val="28"/>
          <w:u w:val="single"/>
        </w:rPr>
        <w:t>udges</w:t>
      </w:r>
      <w:r>
        <w:rPr>
          <w:b/>
          <w:i w:val="0"/>
          <w:smallCaps w:val="0"/>
          <w:strike w:val="0"/>
          <w:sz w:val="28"/>
          <w:u w:val="single"/>
        </w:rPr>
        <w:t xml:space="preserve">, but it will </w:t>
      </w:r>
      <w:r>
        <w:rPr>
          <w:b/>
          <w:i w:val="0"/>
          <w:smallCaps w:val="0"/>
          <w:strike w:val="0"/>
          <w:sz w:val="28"/>
          <w:highlight w:val="cyan"/>
          <w:u w:val="single"/>
        </w:rPr>
        <w:t>help inventors who do not have law degrees</w:t>
      </w:r>
      <w:r>
        <w:rPr>
          <w:b/>
          <w:i w:val="0"/>
          <w:smallCaps w:val="0"/>
          <w:strike w:val="0"/>
          <w:sz w:val="28"/>
          <w:u w:val="single"/>
        </w:rPr>
        <w:t xml:space="preserve"> or experience in case law research </w:t>
      </w:r>
      <w:r>
        <w:rPr>
          <w:b/>
          <w:i w:val="0"/>
          <w:smallCaps w:val="0"/>
          <w:strike w:val="0"/>
          <w:sz w:val="28"/>
          <w:highlight w:val="cyan"/>
          <w:u w:val="single"/>
        </w:rPr>
        <w:t>understand whether they are operating within a patent-eligible field just by reading the statute</w:t>
      </w:r>
      <w:r>
        <w:rPr>
          <w:b w:val="0"/>
          <w:i w:val="0"/>
          <w:smallCaps w:val="0"/>
          <w:strike w:val="0"/>
          <w:sz w:val="20"/>
          <w:u w:val="none"/>
        </w:rPr>
        <w:t>.  Any lay person now just reading the statute would probably not even realize that significant judicial exception exists to the plain text of Section 101.</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