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Chinese IP theft stats are </w:t>
      </w:r>
      <w:r>
        <w:rPr>
          <w:b/>
          <w:i w:val="0"/>
          <w:smallCaps w:val="0"/>
          <w:strike w:val="0"/>
          <w:sz w:val="28"/>
          <w:u w:val="none"/>
        </w:rPr>
        <w:t>doctored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Richard </w:t>
      </w:r>
      <w:r>
        <w:rPr>
          <w:b/>
          <w:i w:val="0"/>
          <w:smallCaps w:val="0"/>
          <w:strike w:val="0"/>
          <w:sz w:val="24"/>
          <w:u w:val="none"/>
        </w:rPr>
        <w:t>Vigilante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 xml:space="preserve">24 </w:t>
      </w:r>
      <w:r>
        <w:rPr>
          <w:b w:val="0"/>
          <w:i w:val="0"/>
          <w:smallCaps w:val="0"/>
          <w:strike w:val="0"/>
          <w:sz w:val="20"/>
          <w:u w:val="none"/>
        </w:rPr>
        <w:t>– Vice President and Editorial Director at Gilder Publishing “The Mirage of China's I.P. Theft” Reason Magazine, July, https://reason.com/2024/06/02/the-mirage-of-chinas-i-p-theft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Even with all of this guesswork at play in the OECD reports, the 2011 USITC report makes them look like high scholarship.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Focusing on I.P.-intensive U.S. firms operating in China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in 2009,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the report claims these firms "reported losses of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approximately $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48.2 billion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in sales, royalties, or license fees"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due to I.P. infringement. Ye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t a closer look reveals the range of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estimated losses</w:t>
      </w:r>
      <w:r>
        <w:rPr>
          <w:b w:val="0"/>
          <w:i w:val="0"/>
          <w:smallCaps w:val="0"/>
          <w:strike w:val="0"/>
          <w:sz w:val="20"/>
          <w:u w:val="none"/>
        </w:rPr>
        <w:t>, stretching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from $14.2 billion to $90.5 billion,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was based not on direct reports from companies but on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third-party guesstimates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from industry associations. Essentially, these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firms were parroting back guesses fed to them by industry groups with a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vested interest in painting the grimmest picture possible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to grab government attention. The claim that the oft-cited USITC report was based on accounts by victim companies is a fraud.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