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Low quality patent risk is low – patent remedies, fee shifting, and obviousness requirements blunt the impact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Manny </w:t>
      </w:r>
      <w:r>
        <w:rPr>
          <w:b/>
          <w:i w:val="0"/>
          <w:smallCaps w:val="0"/>
          <w:strike w:val="0"/>
          <w:sz w:val="24"/>
          <w:u w:val="none"/>
        </w:rPr>
        <w:t>Schecter,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19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chief patent counsel for IBM.  Senate Judiciary Subcommittee Hearing State of Patent Eligibility in America, 6/11, Proquest Congressional,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F.  Patent Quality is Best Addressed by Improvements to the Disclosure Requirements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    Some have supported the current judicially imposed limits on patent eligibility as a remedy for concerns they have about attempts to enforce poor quality patents.  We understand and share those concerns.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risk from poor quality patents has been greatly reduced by judicial decisions on obviousness, patent remedies, and fee shifting.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Even more helpful have been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USPTO post-issuance validity review processes provided for in the America Invents Act</w:t>
      </w:r>
      <w:r>
        <w:rPr>
          <w:b w:val="0"/>
          <w:i w:val="0"/>
          <w:smallCaps w:val="0"/>
          <w:strike w:val="0"/>
          <w:sz w:val="20"/>
          <w:u w:val="none"/>
        </w:rPr>
        <w:t>, which IBM strongly supported.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  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Sections 102, 103 and 112 can be used to weed out attempts to patent inventions that are too broad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</w:t>
      </w:r>
      <w:r>
        <w:rPr>
          <w:b/>
          <w:i w:val="0"/>
          <w:smallCaps w:val="0"/>
          <w:strike w:val="0"/>
          <w:sz w:val="28"/>
          <w:u w:val="single"/>
        </w:rPr>
        <w:t>The broader the claim is to an invention, the more likely that claim will not be new or will be obvious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The scope of the prior art is wide, and modern information technology has made it easier and cheaper to find identical or close prior art.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obviousness requirement is robust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particularly with the availability of the pre-issuance and post-issuance procedures of the America Invents Act.  And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section 112 requirements are a significant tool for limiting overbreadth</w:t>
      </w:r>
      <w:r>
        <w:rPr>
          <w:b w:val="0"/>
          <w:i w:val="0"/>
          <w:smallCaps w:val="0"/>
          <w:strike w:val="0"/>
          <w:sz w:val="20"/>
          <w:u w:val="none"/>
        </w:rPr>
        <w:t>.  The draft bill text further addresses poor quality patents through improvements to section 112.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