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PTO can’t create legal certainty. It has no rulemaking authority and is bound to follow the courts</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Thom Tillis,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val="0"/>
          <w:i w:val="0"/>
          <w:smallCaps w:val="0"/>
          <w:strike w:val="0"/>
          <w:sz w:val="20"/>
          <w:u w:val="none"/>
        </w:rPr>
        <w:t xml:space="preserve">The U.S. Patent &amp; Trademark Office Pilot Program on deferred patent eligibility consideration (“pilot program”) is one possible response to the indeterminacy and restrictive scope of patent eligibility created by the Supreme Court in its Mayo-Alice inquiry, but </w:t>
      </w:r>
      <w:r>
        <w:rPr>
          <w:b/>
          <w:i w:val="0"/>
          <w:smallCaps w:val="0"/>
          <w:strike w:val="0"/>
          <w:sz w:val="28"/>
          <w:u w:val="single"/>
        </w:rPr>
        <w:t>the pilot program is neither a preferred nor complete solution</w:t>
      </w:r>
      <w:r>
        <w:rPr>
          <w:b w:val="0"/>
          <w:i w:val="0"/>
          <w:smallCaps w:val="0"/>
          <w:strike w:val="0"/>
          <w:sz w:val="20"/>
          <w:u w:val="none"/>
        </w:rPr>
        <w:t>. This is the case for at least several reasons.</w:t>
      </w:r>
    </w:p>
    <w:p>
      <w:pPr>
        <w:spacing w:after="60"/>
      </w:pPr>
      <w:r>
        <w:rPr>
          <w:b w:val="0"/>
          <w:i w:val="0"/>
          <w:smallCaps w:val="0"/>
          <w:strike w:val="0"/>
          <w:sz w:val="20"/>
          <w:u w:val="none"/>
        </w:rPr>
        <w:t xml:space="preserve">First, in questions of law like the Mayo-Alice inquiry, </w:t>
      </w:r>
      <w:r>
        <w:rPr>
          <w:b/>
          <w:i w:val="0"/>
          <w:smallCaps w:val="0"/>
          <w:strike w:val="0"/>
          <w:sz w:val="28"/>
          <w:highlight w:val="cyan"/>
          <w:u w:val="single"/>
        </w:rPr>
        <w:t>courts are not required to follow the USPTO’s guidelines</w:t>
      </w:r>
      <w:r>
        <w:rPr>
          <w:b/>
          <w:i w:val="0"/>
          <w:smallCaps w:val="0"/>
          <w:strike w:val="0"/>
          <w:sz w:val="28"/>
          <w:u w:val="single"/>
        </w:rPr>
        <w:t xml:space="preserve"> or decisions resulting therefrom</w:t>
      </w:r>
      <w:r>
        <w:rPr>
          <w:b w:val="0"/>
          <w:i w:val="0"/>
          <w:smallCaps w:val="0"/>
          <w:strike w:val="0"/>
          <w:sz w:val="20"/>
          <w:u w:val="none"/>
        </w:rPr>
        <w:t xml:space="preserve">; in fact, </w:t>
      </w:r>
      <w:r>
        <w:rPr>
          <w:b/>
          <w:i w:val="0"/>
          <w:smallCaps w:val="0"/>
          <w:strike w:val="0"/>
          <w:sz w:val="28"/>
          <w:highlight w:val="cyan"/>
          <w:u w:val="single"/>
        </w:rPr>
        <w:t>the Court of Appeals for the Federal Circuit has explicitly rejected arguments by patent owners that it should defer to the</w:t>
      </w:r>
      <w:r>
        <w:rPr>
          <w:b/>
          <w:i w:val="0"/>
          <w:smallCaps w:val="0"/>
          <w:strike w:val="0"/>
          <w:sz w:val="28"/>
          <w:u w:val="single"/>
        </w:rPr>
        <w:t xml:space="preserve"> patent-eligibility rules created by the </w:t>
      </w:r>
      <w:r>
        <w:rPr>
          <w:b/>
          <w:i w:val="0"/>
          <w:smallCaps w:val="0"/>
          <w:strike w:val="0"/>
          <w:sz w:val="28"/>
          <w:highlight w:val="cyan"/>
          <w:u w:val="single"/>
        </w:rPr>
        <w:t>USPTO</w:t>
      </w:r>
      <w:r>
        <w:rPr>
          <w:b w:val="0"/>
          <w:i w:val="0"/>
          <w:smallCaps w:val="0"/>
          <w:strike w:val="0"/>
          <w:sz w:val="20"/>
          <w:highlight w:val="cyan"/>
          <w:u w:val="none"/>
        </w:rPr>
        <w:t>,</w:t>
      </w:r>
      <w:r>
        <w:rPr>
          <w:b w:val="0"/>
          <w:i w:val="0"/>
          <w:smallCaps w:val="0"/>
          <w:strike w:val="0"/>
          <w:sz w:val="20"/>
          <w:u w:val="none"/>
        </w:rPr>
        <w:t xml:space="preserve"> stating “we are not bound by [the USPTO’s] guidance.”5 Thus, when the USPTO grants a patent under the deferred program, district courts and the Federal Circuit will continue to apply de novo the patent-eligibility requirement in  § 101, as construed by the Supreme Court in the Mayo-Alice inquiry.  </w:t>
      </w:r>
    </w:p>
    <w:p>
      <w:pPr>
        <w:spacing w:after="60"/>
      </w:pPr>
      <w:r>
        <w:rPr>
          <w:b w:val="0"/>
          <w:i w:val="0"/>
          <w:smallCaps w:val="0"/>
          <w:strike w:val="0"/>
          <w:sz w:val="20"/>
          <w:u w:val="none"/>
        </w:rPr>
        <w:t xml:space="preserve">Second, and related to the first reason, </w:t>
      </w:r>
      <w:r>
        <w:rPr>
          <w:b/>
          <w:i w:val="0"/>
          <w:smallCaps w:val="0"/>
          <w:strike w:val="0"/>
          <w:sz w:val="28"/>
          <w:u w:val="single"/>
        </w:rPr>
        <w:t>the pilot program is only a procedural response within the substantive doctrine</w:t>
      </w:r>
      <w:r>
        <w:rPr>
          <w:b w:val="0"/>
          <w:i w:val="0"/>
          <w:smallCaps w:val="0"/>
          <w:strike w:val="0"/>
          <w:sz w:val="20"/>
          <w:u w:val="none"/>
        </w:rPr>
        <w:t xml:space="preserve"> set forth by the Supreme Court in the Mayo-Alice inquiry, and thus </w:t>
      </w:r>
      <w:r>
        <w:rPr>
          <w:b/>
          <w:i w:val="0"/>
          <w:smallCaps w:val="0"/>
          <w:strike w:val="0"/>
          <w:sz w:val="28"/>
          <w:u w:val="single"/>
        </w:rPr>
        <w:t>the pilot</w:t>
      </w:r>
      <w:r>
        <w:rPr>
          <w:b w:val="0"/>
          <w:i w:val="0"/>
          <w:smallCaps w:val="0"/>
          <w:strike w:val="0"/>
          <w:sz w:val="20"/>
          <w:u w:val="none"/>
        </w:rPr>
        <w:t xml:space="preserve"> program </w:t>
      </w:r>
      <w:r>
        <w:rPr>
          <w:b/>
          <w:i w:val="0"/>
          <w:smallCaps w:val="0"/>
          <w:strike w:val="0"/>
          <w:sz w:val="28"/>
          <w:u w:val="single"/>
        </w:rPr>
        <w:t>does not address the legal deficiencies created by Mayo-Alice</w:t>
      </w:r>
      <w:r>
        <w:rPr>
          <w:b/>
          <w:i w:val="0"/>
          <w:smallCaps w:val="0"/>
          <w:strike w:val="0"/>
          <w:sz w:val="28"/>
          <w:u w:val="single"/>
        </w:rPr>
        <w:t xml:space="preserve"> inquiry</w:t>
      </w:r>
      <w:r>
        <w:rPr>
          <w:b w:val="0"/>
          <w:i w:val="0"/>
          <w:smallCaps w:val="0"/>
          <w:strike w:val="0"/>
          <w:sz w:val="20"/>
          <w:u w:val="none"/>
        </w:rPr>
        <w:t xml:space="preserve">. </w:t>
      </w:r>
      <w:r>
        <w:rPr>
          <w:b/>
          <w:i w:val="0"/>
          <w:smallCaps w:val="0"/>
          <w:strike w:val="0"/>
          <w:sz w:val="28"/>
          <w:u w:val="single"/>
        </w:rPr>
        <w:t>The US</w:t>
      </w:r>
      <w:r>
        <w:rPr>
          <w:b/>
          <w:i w:val="0"/>
          <w:smallCaps w:val="0"/>
          <w:strike w:val="0"/>
          <w:sz w:val="28"/>
          <w:highlight w:val="cyan"/>
          <w:u w:val="single"/>
        </w:rPr>
        <w:t>PTO</w:t>
      </w:r>
      <w:r>
        <w:rPr>
          <w:b/>
          <w:i w:val="0"/>
          <w:smallCaps w:val="0"/>
          <w:strike w:val="0"/>
          <w:sz w:val="28"/>
          <w:u w:val="single"/>
        </w:rPr>
        <w:t xml:space="preserve"> </w:t>
      </w:r>
      <w:r>
        <w:rPr>
          <w:b/>
          <w:i w:val="0"/>
          <w:smallCaps w:val="0"/>
          <w:strike w:val="0"/>
          <w:sz w:val="28"/>
          <w:highlight w:val="cyan"/>
          <w:u w:val="single"/>
        </w:rPr>
        <w:t xml:space="preserve">has </w:t>
      </w:r>
      <w:r>
        <w:rPr>
          <w:b/>
          <w:i w:val="0"/>
          <w:smallCaps w:val="0"/>
          <w:strike w:val="0"/>
          <w:sz w:val="28"/>
          <w:highlight w:val="cyan"/>
          <w:u w:val="single"/>
        </w:rPr>
        <w:t>no substantive rulemaking authority</w:t>
      </w:r>
      <w:r>
        <w:rPr>
          <w:b/>
          <w:i w:val="0"/>
          <w:smallCaps w:val="0"/>
          <w:strike w:val="0"/>
          <w:sz w:val="28"/>
          <w:u w:val="single"/>
        </w:rPr>
        <w:t xml:space="preserve"> in its examination of patent applications</w:t>
      </w:r>
      <w:r>
        <w:rPr>
          <w:b w:val="0"/>
          <w:i w:val="0"/>
          <w:smallCaps w:val="0"/>
          <w:strike w:val="0"/>
          <w:sz w:val="20"/>
          <w:u w:val="none"/>
        </w:rPr>
        <w:t xml:space="preserve">, </w:t>
      </w:r>
      <w:r>
        <w:rPr>
          <w:b/>
          <w:i w:val="0"/>
          <w:smallCaps w:val="0"/>
          <w:strike w:val="0"/>
          <w:sz w:val="28"/>
          <w:highlight w:val="cyan"/>
          <w:u w:val="single"/>
        </w:rPr>
        <w:t>and</w:t>
      </w:r>
      <w:r>
        <w:rPr>
          <w:b/>
          <w:i w:val="0"/>
          <w:smallCaps w:val="0"/>
          <w:strike w:val="0"/>
          <w:sz w:val="28"/>
          <w:u w:val="single"/>
        </w:rPr>
        <w:t xml:space="preserve"> thus it </w:t>
      </w:r>
      <w:r>
        <w:rPr>
          <w:b/>
          <w:i w:val="0"/>
          <w:smallCaps w:val="0"/>
          <w:strike w:val="0"/>
          <w:sz w:val="28"/>
          <w:highlight w:val="cyan"/>
          <w:u w:val="single"/>
        </w:rPr>
        <w:t>must follow the</w:t>
      </w:r>
      <w:r>
        <w:rPr>
          <w:b/>
          <w:i w:val="0"/>
          <w:smallCaps w:val="0"/>
          <w:strike w:val="0"/>
          <w:sz w:val="28"/>
          <w:u w:val="single"/>
        </w:rPr>
        <w:t xml:space="preserve"> doctrines created by the Supreme </w:t>
      </w:r>
      <w:r>
        <w:rPr>
          <w:b/>
          <w:i w:val="0"/>
          <w:smallCaps w:val="0"/>
          <w:strike w:val="0"/>
          <w:sz w:val="28"/>
          <w:highlight w:val="cyan"/>
          <w:u w:val="single"/>
        </w:rPr>
        <w:t>Court</w:t>
      </w:r>
      <w:r>
        <w:rPr>
          <w:b/>
          <w:i w:val="0"/>
          <w:smallCaps w:val="0"/>
          <w:strike w:val="0"/>
          <w:sz w:val="28"/>
          <w:u w:val="single"/>
        </w:rPr>
        <w:t xml:space="preserve"> in its interpretation of the patent statutes </w:t>
      </w:r>
      <w:r>
        <w:rPr>
          <w:b w:val="0"/>
          <w:i w:val="0"/>
          <w:smallCaps w:val="0"/>
          <w:strike w:val="0"/>
          <w:sz w:val="20"/>
          <w:u w:val="none"/>
        </w:rPr>
        <w:t xml:space="preserve">or in its continuing application of longstanding common law doctrines in the patent system, such as, among others, the exclusionary rules for patent eligibility, patent exhaustion, and the doctrine of equivalents.6 Thus, </w:t>
      </w:r>
      <w:r>
        <w:rPr>
          <w:b/>
          <w:i w:val="0"/>
          <w:smallCaps w:val="0"/>
          <w:strike w:val="0"/>
          <w:sz w:val="28"/>
          <w:u w:val="single"/>
        </w:rPr>
        <w:t>US</w:t>
      </w:r>
      <w:r>
        <w:rPr>
          <w:b/>
          <w:i w:val="0"/>
          <w:smallCaps w:val="0"/>
          <w:strike w:val="0"/>
          <w:sz w:val="28"/>
          <w:highlight w:val="cyan"/>
          <w:u w:val="single"/>
        </w:rPr>
        <w:t>PTO</w:t>
      </w:r>
      <w:r>
        <w:rPr>
          <w:b/>
          <w:i w:val="0"/>
          <w:smallCaps w:val="0"/>
          <w:strike w:val="0"/>
          <w:sz w:val="28"/>
          <w:u w:val="single"/>
        </w:rPr>
        <w:t xml:space="preserve"> guidelines and other examination practices </w:t>
      </w:r>
      <w:r>
        <w:rPr>
          <w:b/>
          <w:i w:val="0"/>
          <w:smallCaps w:val="0"/>
          <w:strike w:val="0"/>
          <w:sz w:val="28"/>
          <w:highlight w:val="cyan"/>
          <w:u w:val="single"/>
        </w:rPr>
        <w:t>cannot</w:t>
      </w:r>
      <w:r>
        <w:rPr>
          <w:b/>
          <w:i w:val="0"/>
          <w:smallCaps w:val="0"/>
          <w:strike w:val="0"/>
          <w:sz w:val="28"/>
          <w:u w:val="single"/>
        </w:rPr>
        <w:t xml:space="preserve"> </w:t>
      </w:r>
      <w:r>
        <w:rPr>
          <w:b w:val="0"/>
          <w:i w:val="0"/>
          <w:smallCaps w:val="0"/>
          <w:strike w:val="0"/>
          <w:sz w:val="20"/>
          <w:u w:val="none"/>
        </w:rPr>
        <w:t xml:space="preserve">ultimately </w:t>
      </w:r>
      <w:r>
        <w:rPr>
          <w:b/>
          <w:i w:val="0"/>
          <w:smallCaps w:val="0"/>
          <w:strike w:val="0"/>
          <w:sz w:val="28"/>
          <w:highlight w:val="cyan"/>
          <w:u w:val="single"/>
        </w:rPr>
        <w:t>resolve the</w:t>
      </w:r>
      <w:r>
        <w:rPr>
          <w:b/>
          <w:i w:val="0"/>
          <w:smallCaps w:val="0"/>
          <w:strike w:val="0"/>
          <w:sz w:val="28"/>
          <w:u w:val="single"/>
        </w:rPr>
        <w:t xml:space="preserve"> fundamental problems in law and economic policy created by the </w:t>
      </w:r>
      <w:r>
        <w:rPr>
          <w:b/>
          <w:i w:val="0"/>
          <w:smallCaps w:val="0"/>
          <w:strike w:val="0"/>
          <w:sz w:val="28"/>
          <w:highlight w:val="cyan"/>
          <w:u w:val="single"/>
        </w:rPr>
        <w:t>indeterminacy</w:t>
      </w:r>
      <w:r>
        <w:rPr>
          <w:b/>
          <w:i w:val="0"/>
          <w:smallCaps w:val="0"/>
          <w:strike w:val="0"/>
          <w:sz w:val="28"/>
          <w:u w:val="single"/>
        </w:rPr>
        <w:t xml:space="preserve"> and cramped eligibility requirements </w:t>
      </w:r>
      <w:r>
        <w:rPr>
          <w:b/>
          <w:i w:val="0"/>
          <w:smallCaps w:val="0"/>
          <w:strike w:val="0"/>
          <w:sz w:val="28"/>
          <w:highlight w:val="cyan"/>
          <w:u w:val="single"/>
        </w:rPr>
        <w:t>of the Mayo-Alice inquiry</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