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It’s a </w:t>
      </w:r>
      <w:r>
        <w:rPr>
          <w:b/>
          <w:i w:val="0"/>
          <w:smallCaps w:val="0"/>
          <w:strike w:val="0"/>
          <w:sz w:val="28"/>
          <w:u w:val="single"/>
        </w:rPr>
        <w:t>direct</w:t>
      </w:r>
      <w:r>
        <w:rPr>
          <w:b/>
          <w:i w:val="0"/>
          <w:smallCaps w:val="0"/>
          <w:strike w:val="0"/>
          <w:sz w:val="28"/>
          <w:u w:val="none"/>
        </w:rPr>
        <w:t xml:space="preserve"> response to the CP</w:t>
      </w:r>
    </w:p>
    <w:p>
      <w:pPr>
        <w:spacing w:after="80"/>
      </w:pPr>
      <w:r>
        <w:rPr>
          <w:b w:val="0"/>
          <w:i w:val="0"/>
          <w:smallCaps w:val="0"/>
          <w:strike w:val="0"/>
          <w:sz w:val="20"/>
          <w:u w:val="none"/>
        </w:rPr>
        <w:t xml:space="preserve">David </w:t>
      </w:r>
      <w:r>
        <w:rPr>
          <w:b/>
          <w:i w:val="0"/>
          <w:smallCaps w:val="0"/>
          <w:strike w:val="0"/>
          <w:sz w:val="24"/>
          <w:u w:val="none"/>
        </w:rPr>
        <w:t>Jones,</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 executive director of the High Tech Inventors Alliance. Statement Before the Subcommittee on Intellectual Property U.S. Senate Committee on the Judiciary, Hearing on “The Patent Eligibility Restoration Act – Restoring Clarity, Certainty, and Predictability to the U.S. Patent System” 1/24, </w:t>
      </w:r>
      <w:r>
        <w:rPr>
          <w:b w:val="0"/>
          <w:i w:val="0"/>
          <w:smallCaps w:val="0"/>
          <w:strike w:val="0"/>
          <w:sz w:val="20"/>
          <w:u w:val="none"/>
        </w:rPr>
        <w:t xml:space="preserve"> //DH</w:t>
      </w:r>
    </w:p>
    <w:p>
      <w:pPr>
        <w:spacing w:after="60"/>
      </w:pPr>
      <w:r>
        <w:rPr>
          <w:b/>
          <w:i w:val="0"/>
          <w:smallCaps w:val="0"/>
          <w:strike w:val="0"/>
          <w:sz w:val="28"/>
          <w:highlight w:val="cyan"/>
          <w:u w:val="single"/>
        </w:rPr>
        <w:t>The</w:t>
      </w:r>
      <w:r>
        <w:rPr>
          <w:b/>
          <w:i w:val="0"/>
          <w:smallCaps w:val="0"/>
          <w:strike w:val="0"/>
          <w:sz w:val="28"/>
          <w:u w:val="single"/>
        </w:rPr>
        <w:t xml:space="preserve"> </w:t>
      </w:r>
      <w:r>
        <w:rPr>
          <w:b w:val="0"/>
          <w:i w:val="0"/>
          <w:smallCaps w:val="0"/>
          <w:strike w:val="0"/>
          <w:sz w:val="20"/>
          <w:u w:val="none"/>
        </w:rPr>
        <w:t xml:space="preserve">first of these is to focus on </w:t>
      </w:r>
      <w:r>
        <w:rPr>
          <w:b/>
          <w:i w:val="0"/>
          <w:smallCaps w:val="0"/>
          <w:strike w:val="0"/>
          <w:sz w:val="28"/>
          <w:u w:val="single"/>
        </w:rPr>
        <w:t xml:space="preserve">a narrow </w:t>
      </w:r>
      <w:r>
        <w:rPr>
          <w:b/>
          <w:i w:val="0"/>
          <w:smallCaps w:val="0"/>
          <w:strike w:val="0"/>
          <w:sz w:val="28"/>
          <w:highlight w:val="cyan"/>
          <w:u w:val="single"/>
        </w:rPr>
        <w:t>solution</w:t>
      </w:r>
      <w:r>
        <w:rPr>
          <w:b w:val="0"/>
          <w:i w:val="0"/>
          <w:smallCaps w:val="0"/>
          <w:strike w:val="0"/>
          <w:sz w:val="20"/>
          <w:u w:val="none"/>
        </w:rPr>
        <w:t xml:space="preserve"> that </w:t>
      </w:r>
      <w:r>
        <w:rPr>
          <w:b w:val="0"/>
          <w:i w:val="0"/>
          <w:smallCaps w:val="0"/>
          <w:strike w:val="0"/>
          <w:sz w:val="20"/>
          <w:highlight w:val="cyan"/>
          <w:u w:val="none"/>
        </w:rPr>
        <w:t>is</w:t>
      </w:r>
      <w:r>
        <w:rPr>
          <w:b w:val="0"/>
          <w:i w:val="0"/>
          <w:smallCaps w:val="0"/>
          <w:strike w:val="0"/>
          <w:sz w:val="20"/>
          <w:u w:val="none"/>
        </w:rPr>
        <w:t xml:space="preserve"> </w:t>
      </w:r>
      <w:r>
        <w:rPr>
          <w:b/>
          <w:i w:val="0"/>
          <w:smallCaps w:val="0"/>
          <w:strike w:val="0"/>
          <w:sz w:val="28"/>
          <w:highlight w:val="cyan"/>
          <w:u w:val="single"/>
        </w:rPr>
        <w:t>targeted specifically</w:t>
      </w:r>
      <w:r>
        <w:rPr>
          <w:b w:val="0"/>
          <w:i w:val="0"/>
          <w:smallCaps w:val="0"/>
          <w:strike w:val="0"/>
          <w:sz w:val="20"/>
          <w:u w:val="none"/>
        </w:rPr>
        <w:t xml:space="preserve"> and exclusively </w:t>
      </w:r>
      <w:r>
        <w:rPr>
          <w:b/>
          <w:i w:val="0"/>
          <w:smallCaps w:val="0"/>
          <w:strike w:val="0"/>
          <w:sz w:val="28"/>
          <w:highlight w:val="cyan"/>
          <w:u w:val="single"/>
        </w:rPr>
        <w:t>at</w:t>
      </w:r>
      <w:r>
        <w:rPr>
          <w:b w:val="0"/>
          <w:i w:val="0"/>
          <w:smallCaps w:val="0"/>
          <w:strike w:val="0"/>
          <w:sz w:val="20"/>
          <w:u w:val="none"/>
        </w:rPr>
        <w:t xml:space="preserve"> any areas of </w:t>
      </w:r>
      <w:r>
        <w:rPr>
          <w:b/>
          <w:i w:val="0"/>
          <w:smallCaps w:val="0"/>
          <w:strike w:val="0"/>
          <w:sz w:val="28"/>
          <w:highlight w:val="cyan"/>
          <w:u w:val="single"/>
        </w:rPr>
        <w:t>tech</w:t>
      </w:r>
      <w:r>
        <w:rPr>
          <w:b w:val="0"/>
          <w:i w:val="0"/>
          <w:smallCaps w:val="0"/>
          <w:strike w:val="0"/>
          <w:sz w:val="20"/>
          <w:u w:val="none"/>
        </w:rPr>
        <w:t xml:space="preserve">nology </w:t>
      </w:r>
      <w:r>
        <w:rPr>
          <w:b/>
          <w:i w:val="0"/>
          <w:smallCaps w:val="0"/>
          <w:strike w:val="0"/>
          <w:sz w:val="28"/>
          <w:highlight w:val="cyan"/>
          <w:u w:val="single"/>
        </w:rPr>
        <w:t xml:space="preserve">for which the current jurisprudence has </w:t>
      </w:r>
      <w:r>
        <w:rPr>
          <w:b/>
          <w:i w:val="0"/>
          <w:smallCaps w:val="0"/>
          <w:strike w:val="0"/>
          <w:sz w:val="28"/>
          <w:u w:val="single"/>
        </w:rPr>
        <w:t>created</w:t>
      </w:r>
      <w:r>
        <w:rPr>
          <w:b w:val="0"/>
          <w:i w:val="0"/>
          <w:smallCaps w:val="0"/>
          <w:strike w:val="0"/>
          <w:sz w:val="20"/>
          <w:u w:val="none"/>
        </w:rPr>
        <w:t xml:space="preserve"> significant and </w:t>
      </w:r>
      <w:r>
        <w:rPr>
          <w:b/>
          <w:i w:val="0"/>
          <w:smallCaps w:val="0"/>
          <w:strike w:val="0"/>
          <w:sz w:val="28"/>
          <w:u w:val="single"/>
        </w:rPr>
        <w:t>empirically demonstrable impediments</w:t>
      </w:r>
      <w:r>
        <w:rPr>
          <w:b w:val="0"/>
          <w:i w:val="0"/>
          <w:smallCaps w:val="0"/>
          <w:strike w:val="0"/>
          <w:sz w:val="20"/>
          <w:u w:val="none"/>
        </w:rPr>
        <w:t xml:space="preserve"> to obtaining patent protection </w:t>
      </w:r>
      <w:r>
        <w:rPr>
          <w:b/>
          <w:i w:val="0"/>
          <w:smallCaps w:val="0"/>
          <w:strike w:val="0"/>
          <w:sz w:val="28"/>
          <w:u w:val="single"/>
        </w:rPr>
        <w:t>to the extent</w:t>
      </w:r>
      <w:r>
        <w:rPr>
          <w:b w:val="0"/>
          <w:i w:val="0"/>
          <w:smallCaps w:val="0"/>
          <w:strike w:val="0"/>
          <w:sz w:val="20"/>
          <w:u w:val="none"/>
        </w:rPr>
        <w:t xml:space="preserve"> that </w:t>
      </w:r>
      <w:r>
        <w:rPr>
          <w:b/>
          <w:i w:val="0"/>
          <w:smallCaps w:val="0"/>
          <w:strike w:val="0"/>
          <w:sz w:val="28"/>
          <w:u w:val="single"/>
        </w:rPr>
        <w:t xml:space="preserve">such impediments can be shown to have </w:t>
      </w:r>
      <w:r>
        <w:rPr>
          <w:b/>
          <w:i w:val="0"/>
          <w:smallCaps w:val="0"/>
          <w:strike w:val="0"/>
          <w:sz w:val="28"/>
          <w:highlight w:val="cyan"/>
          <w:u w:val="single"/>
        </w:rPr>
        <w:t>resulted i</w:t>
      </w:r>
      <w:r>
        <w:rPr>
          <w:b/>
          <w:i w:val="0"/>
          <w:smallCaps w:val="0"/>
          <w:strike w:val="0"/>
          <w:sz w:val="28"/>
          <w:highlight w:val="cyan"/>
          <w:u w:val="single"/>
        </w:rPr>
        <w:t xml:space="preserve">n </w:t>
      </w:r>
      <w:r>
        <w:rPr>
          <w:b/>
          <w:i w:val="0"/>
          <w:smallCaps w:val="0"/>
          <w:strike w:val="0"/>
          <w:sz w:val="28"/>
          <w:u w:val="single"/>
        </w:rPr>
        <w:t xml:space="preserve">clearly </w:t>
      </w:r>
      <w:r>
        <w:rPr>
          <w:b/>
          <w:i w:val="0"/>
          <w:smallCaps w:val="0"/>
          <w:strike w:val="0"/>
          <w:sz w:val="28"/>
          <w:highlight w:val="cyan"/>
          <w:u w:val="single"/>
        </w:rPr>
        <w:t>insufficient</w:t>
      </w:r>
      <w:r>
        <w:rPr>
          <w:b/>
          <w:i w:val="0"/>
          <w:smallCaps w:val="0"/>
          <w:strike w:val="0"/>
          <w:sz w:val="28"/>
          <w:u w:val="single"/>
        </w:rPr>
        <w:t xml:space="preserve"> levels of </w:t>
      </w:r>
      <w:r>
        <w:rPr>
          <w:b/>
          <w:i w:val="0"/>
          <w:smallCaps w:val="0"/>
          <w:strike w:val="0"/>
          <w:sz w:val="28"/>
          <w:highlight w:val="cyan"/>
          <w:u w:val="single"/>
        </w:rPr>
        <w:t>R&amp;D</w:t>
      </w:r>
      <w:r>
        <w:rPr>
          <w:b w:val="0"/>
          <w:i w:val="0"/>
          <w:smallCaps w:val="0"/>
          <w:strike w:val="0"/>
          <w:sz w:val="20"/>
          <w:u w:val="none"/>
        </w:rPr>
        <w:t xml:space="preserve"> investment.  Ideally, </w:t>
      </w:r>
      <w:r>
        <w:rPr>
          <w:b/>
          <w:i w:val="0"/>
          <w:smallCaps w:val="0"/>
          <w:strike w:val="0"/>
          <w:sz w:val="28"/>
          <w:highlight w:val="cyan"/>
          <w:u w:val="single"/>
        </w:rPr>
        <w:t>the solution</w:t>
      </w:r>
      <w:r>
        <w:rPr>
          <w:b w:val="0"/>
          <w:i w:val="0"/>
          <w:smallCaps w:val="0"/>
          <w:strike w:val="0"/>
          <w:sz w:val="20"/>
          <w:u w:val="none"/>
        </w:rPr>
        <w:t xml:space="preserve"> to such a problem </w:t>
      </w:r>
      <w:r>
        <w:rPr>
          <w:b/>
          <w:i w:val="0"/>
          <w:smallCaps w:val="0"/>
          <w:strike w:val="0"/>
          <w:sz w:val="28"/>
          <w:highlight w:val="cyan"/>
          <w:u w:val="single"/>
        </w:rPr>
        <w:t xml:space="preserve">would </w:t>
      </w:r>
      <w:r>
        <w:rPr>
          <w:b/>
          <w:i w:val="0"/>
          <w:smallCaps w:val="0"/>
          <w:strike w:val="0"/>
          <w:sz w:val="28"/>
          <w:u w:val="single"/>
        </w:rPr>
        <w:t xml:space="preserve">be to </w:t>
      </w:r>
      <w:r>
        <w:rPr>
          <w:b/>
          <w:i w:val="0"/>
          <w:smallCaps w:val="0"/>
          <w:strike w:val="0"/>
          <w:sz w:val="28"/>
          <w:highlight w:val="cyan"/>
          <w:u w:val="single"/>
        </w:rPr>
        <w:t xml:space="preserve">create </w:t>
      </w:r>
      <w:r>
        <w:rPr>
          <w:b/>
          <w:i w:val="0"/>
          <w:smallCaps w:val="0"/>
          <w:strike w:val="0"/>
          <w:sz w:val="28"/>
          <w:u w:val="single"/>
        </w:rPr>
        <w:t xml:space="preserve">a new form of </w:t>
      </w:r>
      <w:r>
        <w:rPr>
          <w:b/>
          <w:i w:val="0"/>
          <w:smallCaps w:val="0"/>
          <w:strike w:val="0"/>
          <w:sz w:val="28"/>
          <w:highlight w:val="cyan"/>
          <w:u w:val="single"/>
        </w:rPr>
        <w:t>sui generis</w:t>
      </w:r>
      <w:r>
        <w:rPr>
          <w:b/>
          <w:i w:val="0"/>
          <w:smallCaps w:val="0"/>
          <w:strike w:val="0"/>
          <w:sz w:val="28"/>
          <w:highlight w:val="cyan"/>
          <w:u w:val="single"/>
        </w:rPr>
        <w:t xml:space="preserve"> intellectual property</w:t>
      </w:r>
      <w:r>
        <w:rPr>
          <w:b w:val="0"/>
          <w:i w:val="0"/>
          <w:smallCaps w:val="0"/>
          <w:strike w:val="0"/>
          <w:sz w:val="20"/>
          <w:u w:val="none"/>
        </w:rPr>
        <w:t xml:space="preserve"> that would be </w:t>
      </w:r>
      <w:r>
        <w:rPr>
          <w:b/>
          <w:i w:val="0"/>
          <w:smallCaps w:val="0"/>
          <w:strike w:val="0"/>
          <w:sz w:val="28"/>
          <w:highlight w:val="cyan"/>
          <w:u w:val="single"/>
        </w:rPr>
        <w:t xml:space="preserve">available only for </w:t>
      </w:r>
      <w:r>
        <w:rPr>
          <w:b/>
          <w:i w:val="0"/>
          <w:smallCaps w:val="0"/>
          <w:strike w:val="0"/>
          <w:sz w:val="28"/>
          <w:u w:val="single"/>
        </w:rPr>
        <w:t xml:space="preserve">innovations in </w:t>
      </w:r>
      <w:r>
        <w:rPr>
          <w:b/>
          <w:i w:val="0"/>
          <w:smallCaps w:val="0"/>
          <w:strike w:val="0"/>
          <w:sz w:val="28"/>
          <w:highlight w:val="cyan"/>
          <w:u w:val="single"/>
        </w:rPr>
        <w:t>the identified fields</w:t>
      </w:r>
      <w:r>
        <w:rPr>
          <w:b w:val="0"/>
          <w:i w:val="0"/>
          <w:smallCaps w:val="0"/>
          <w:strike w:val="0"/>
          <w:sz w:val="20"/>
          <w:u w:val="none"/>
        </w:rPr>
        <w:t xml:space="preserve"> of technology, thereby </w:t>
      </w:r>
      <w:r>
        <w:rPr>
          <w:b/>
          <w:i w:val="0"/>
          <w:smallCaps w:val="0"/>
          <w:strike w:val="0"/>
          <w:sz w:val="28"/>
          <w:u w:val="single"/>
        </w:rPr>
        <w:t>minimizing</w:t>
      </w:r>
      <w:r>
        <w:rPr>
          <w:b w:val="0"/>
          <w:i w:val="0"/>
          <w:smallCaps w:val="0"/>
          <w:strike w:val="0"/>
          <w:sz w:val="20"/>
          <w:u w:val="none"/>
        </w:rPr>
        <w:t xml:space="preserve"> the risk of harming existing incentives or imposing substantial unnecessary </w:t>
      </w:r>
      <w:r>
        <w:rPr>
          <w:b/>
          <w:i w:val="0"/>
          <w:smallCaps w:val="0"/>
          <w:strike w:val="0"/>
          <w:sz w:val="28"/>
          <w:u w:val="single"/>
        </w:rPr>
        <w:t>costs</w:t>
      </w:r>
      <w:r>
        <w:rPr>
          <w:b w:val="0"/>
          <w:i w:val="0"/>
          <w:smallCaps w:val="0"/>
          <w:strike w:val="0"/>
          <w:sz w:val="20"/>
          <w:u w:val="none"/>
        </w:rPr>
        <w:t xml:space="preserve"> or business uncertainty </w:t>
      </w:r>
      <w:r>
        <w:rPr>
          <w:b/>
          <w:i w:val="0"/>
          <w:smallCaps w:val="0"/>
          <w:strike w:val="0"/>
          <w:sz w:val="28"/>
          <w:u w:val="single"/>
        </w:rPr>
        <w:t>with respect to areas of technology that cannot be shown to have been harmed</w:t>
      </w:r>
      <w:r>
        <w:rPr>
          <w:b w:val="0"/>
          <w:i w:val="0"/>
          <w:smallCaps w:val="0"/>
          <w:strike w:val="0"/>
          <w:sz w:val="20"/>
          <w:u w:val="none"/>
        </w:rPr>
        <w:t xml:space="preserve"> by</w:t>
      </w:r>
      <w:r>
        <w:rPr>
          <w:b w:val="0"/>
          <w:i w:val="0"/>
          <w:smallCaps w:val="0"/>
          <w:strike w:val="0"/>
          <w:sz w:val="20"/>
          <w:u w:val="none"/>
        </w:rPr>
        <w:t xml:space="preserve"> the current jurisprudence.  As noted above, the relevant data from the ten-plus years since the principal Supreme Court decisions at issue in this debate </w:t>
      </w:r>
      <w:r>
        <w:rPr>
          <w:b w:val="0"/>
          <w:i w:val="0"/>
          <w:smallCaps w:val="0"/>
          <w:strike w:val="0"/>
          <w:sz w:val="20"/>
          <w:u w:val="none"/>
        </w:rPr>
        <w:t xml:space="preserve">suggest that there are no widespread problems.  But, </w:t>
      </w:r>
      <w:r>
        <w:rPr>
          <w:b/>
          <w:i w:val="0"/>
          <w:smallCaps w:val="0"/>
          <w:strike w:val="0"/>
          <w:sz w:val="28"/>
          <w:u w:val="single"/>
        </w:rPr>
        <w:t>to the extent that it can be shown that these decisions created gaps in protection for narrow classes of technology, a targeted, sui generis solution should be adequate to fill them</w:t>
      </w:r>
      <w:r>
        <w:rPr>
          <w:b w:val="0"/>
          <w:i w:val="0"/>
          <w:smallCaps w:val="0"/>
          <w:strike w:val="0"/>
          <w:sz w:val="20"/>
          <w:u w:val="none"/>
        </w:rPr>
        <w:t xml:space="preserve"> and</w:t>
      </w:r>
      <w:r>
        <w:rPr>
          <w:b w:val="0"/>
          <w:i w:val="0"/>
          <w:smallCaps w:val="0"/>
          <w:strike w:val="0"/>
          <w:sz w:val="20"/>
          <w:u w:val="none"/>
        </w:rPr>
        <w:t xml:space="preserve"> restore appropriate incentives to innovate while minimizing the risk to the interests of most stakeholders as well as the risk of negative unintended consequences more generally.  Importantly, </w:t>
      </w:r>
      <w:r>
        <w:rPr>
          <w:b/>
          <w:i w:val="0"/>
          <w:smallCaps w:val="0"/>
          <w:strike w:val="0"/>
          <w:sz w:val="28"/>
          <w:u w:val="single"/>
        </w:rPr>
        <w:t>this</w:t>
      </w:r>
      <w:r>
        <w:rPr>
          <w:b w:val="0"/>
          <w:i w:val="0"/>
          <w:smallCaps w:val="0"/>
          <w:strike w:val="0"/>
          <w:sz w:val="20"/>
          <w:u w:val="none"/>
        </w:rPr>
        <w:t xml:space="preserve"> type of </w:t>
      </w:r>
      <w:r>
        <w:rPr>
          <w:b/>
          <w:i w:val="0"/>
          <w:smallCaps w:val="0"/>
          <w:strike w:val="0"/>
          <w:sz w:val="28"/>
          <w:highlight w:val="cyan"/>
          <w:u w:val="single"/>
        </w:rPr>
        <w:t xml:space="preserve">sui generis protection could be modeled after patent protection, with the </w:t>
      </w:r>
      <w:r>
        <w:rPr>
          <w:b/>
          <w:i w:val="0"/>
          <w:smallCaps w:val="0"/>
          <w:strike w:val="0"/>
          <w:sz w:val="28"/>
          <w:highlight w:val="cyan"/>
          <w:u w:val="single"/>
        </w:rPr>
        <w:t>main difference being that subject matter eligibility</w:t>
      </w:r>
      <w:r>
        <w:rPr>
          <w:b/>
          <w:i w:val="0"/>
          <w:smallCaps w:val="0"/>
          <w:strike w:val="0"/>
          <w:sz w:val="28"/>
          <w:highlight w:val="cyan"/>
          <w:u w:val="single"/>
        </w:rPr>
        <w:t xml:space="preserve"> would extend </w:t>
      </w:r>
      <w:r>
        <w:rPr>
          <w:b/>
          <w:i w:val="0"/>
          <w:smallCaps w:val="0"/>
          <w:strike w:val="0"/>
          <w:sz w:val="28"/>
          <w:highlight w:val="cyan"/>
          <w:u w:val="single"/>
        </w:rPr>
        <w:t>only to the specific, narrowly-defined categories</w:t>
      </w:r>
      <w:r>
        <w:rPr>
          <w:b/>
          <w:i w:val="0"/>
          <w:smallCaps w:val="0"/>
          <w:strike w:val="0"/>
          <w:sz w:val="28"/>
          <w:highlight w:val="cyan"/>
          <w:u w:val="single"/>
        </w:rPr>
        <w:t xml:space="preserve"> </w:t>
      </w:r>
      <w:r>
        <w:rPr>
          <w:b/>
          <w:i w:val="0"/>
          <w:smallCaps w:val="0"/>
          <w:strike w:val="0"/>
          <w:sz w:val="28"/>
          <w:highlight w:val="cyan"/>
          <w:u w:val="single"/>
        </w:rPr>
        <w:t>shown to have been harmed</w:t>
      </w:r>
      <w:r>
        <w:rPr>
          <w:b w:val="0"/>
          <w:i w:val="0"/>
          <w:smallCaps w:val="0"/>
          <w:strike w:val="0"/>
          <w:sz w:val="20"/>
          <w:u w:val="none"/>
        </w:rPr>
        <w:t xml:space="preserve">.  Such a targeted solution could provide intellectual property rights that would be equivalent to patent protection without creating unnecessary challenges with respect to the broader areas of technology for which current eligibility law appears to be working well.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