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Empirically – special carveouts for semiconductors </w:t>
      </w:r>
      <w:r>
        <w:rPr>
          <w:b/>
          <w:i w:val="0"/>
          <w:smallCaps w:val="0"/>
          <w:strike w:val="0"/>
          <w:sz w:val="28"/>
          <w:u w:val="single"/>
        </w:rPr>
        <w:t>undermined</w:t>
      </w:r>
      <w:r>
        <w:rPr>
          <w:b/>
          <w:i w:val="0"/>
          <w:smallCaps w:val="0"/>
          <w:strike w:val="0"/>
          <w:sz w:val="28"/>
          <w:u w:val="none"/>
        </w:rPr>
        <w:t xml:space="preserve"> IP law and created years of uncertainty and litigation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Josh </w:t>
      </w:r>
      <w:r>
        <w:rPr>
          <w:b/>
          <w:i w:val="0"/>
          <w:smallCaps w:val="0"/>
          <w:strike w:val="0"/>
          <w:sz w:val="24"/>
          <w:u w:val="none"/>
        </w:rPr>
        <w:t>Saul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24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J.D. Candidate, 2025, Fordham University School of Law; Ph.D., 2021, Massachusetts Institute of Technology; B.A., 2014, University of California, Berkeley. “GENE PATENTS:  STRIKING THE RIGHT BALANCE BETWEEN INCENTIVE AND INNOVATION” FORDHAM LAW REVIEW, Vol. 92: 2765, May,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u w:val="single"/>
        </w:rPr>
        <w:t xml:space="preserve">Others have suggested creating a special statutory regime for gene patents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akin to what has been done for computer chips within copyright law.343  However, </w:t>
      </w:r>
      <w:r>
        <w:rPr>
          <w:b/>
          <w:i w:val="0"/>
          <w:smallCaps w:val="0"/>
          <w:strike w:val="0"/>
          <w:sz w:val="28"/>
          <w:u w:val="single"/>
        </w:rPr>
        <w:t>this proposal would likely run into many of the same issues that plagued the computer chips legislation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Specifically, critics point out that </w:t>
      </w:r>
      <w:r>
        <w:rPr>
          <w:b/>
          <w:i w:val="0"/>
          <w:smallCaps w:val="0"/>
          <w:strike w:val="0"/>
          <w:sz w:val="28"/>
          <w:u w:val="single"/>
        </w:rPr>
        <w:t>copyright law was too slow to adapt to computer chip technology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 was ultimately a poor fit.344  </w:t>
      </w:r>
      <w:r>
        <w:rPr>
          <w:b/>
          <w:i w:val="0"/>
          <w:smallCaps w:val="0"/>
          <w:strike w:val="0"/>
          <w:sz w:val="28"/>
          <w:u w:val="single"/>
        </w:rPr>
        <w:t>This shortcoming seems almost certain to also apply to the complex and rapidly developing field of human genetics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 Further, </w:t>
      </w:r>
      <w:r>
        <w:rPr>
          <w:b/>
          <w:i w:val="0"/>
          <w:smallCaps w:val="0"/>
          <w:strike w:val="0"/>
          <w:sz w:val="28"/>
          <w:u w:val="single"/>
        </w:rPr>
        <w:t>whatever regime Congress could manage to craft may then immediately be open to challenges as the specifics of this new field of law are fleshed out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likely </w:t>
      </w:r>
      <w:r>
        <w:rPr>
          <w:b/>
          <w:i w:val="0"/>
          <w:smallCaps w:val="0"/>
          <w:strike w:val="0"/>
          <w:sz w:val="28"/>
          <w:u w:val="single"/>
        </w:rPr>
        <w:t>requiring years of litigation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single"/>
        </w:rPr>
        <w:t>and uncertainty</w:t>
      </w:r>
      <w:r>
        <w:rPr>
          <w:b/>
          <w:i w:val="0"/>
          <w:smallCaps w:val="0"/>
          <w:strike w:val="0"/>
          <w:sz w:val="28"/>
          <w:u w:val="single"/>
        </w:rPr>
        <w:t xml:space="preserve"> before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a semblance of </w:t>
      </w:r>
      <w:r>
        <w:rPr>
          <w:b/>
          <w:i w:val="0"/>
          <w:smallCaps w:val="0"/>
          <w:strike w:val="0"/>
          <w:sz w:val="28"/>
          <w:u w:val="single"/>
        </w:rPr>
        <w:t>stability emerges for gene patents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