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Vagueness of the Alice/Mayo framework causes litigation floods</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i w:val="0"/>
          <w:smallCaps w:val="0"/>
          <w:strike w:val="0"/>
          <w:sz w:val="28"/>
          <w:highlight w:val="cyan"/>
          <w:u w:val="single"/>
        </w:rPr>
        <w:t>The vagueness</w:t>
      </w:r>
      <w:r>
        <w:rPr>
          <w:b/>
          <w:i w:val="0"/>
          <w:smallCaps w:val="0"/>
          <w:strike w:val="0"/>
          <w:sz w:val="28"/>
          <w:u w:val="single"/>
        </w:rPr>
        <w:t xml:space="preserve"> and randomness </w:t>
      </w:r>
      <w:r>
        <w:rPr>
          <w:b/>
          <w:i w:val="0"/>
          <w:smallCaps w:val="0"/>
          <w:strike w:val="0"/>
          <w:sz w:val="28"/>
          <w:highlight w:val="cyan"/>
          <w:u w:val="single"/>
        </w:rPr>
        <w:t>of the Alice/Mayo framework have</w:t>
      </w:r>
      <w:r>
        <w:rPr>
          <w:b/>
          <w:i w:val="0"/>
          <w:smallCaps w:val="0"/>
          <w:strike w:val="0"/>
          <w:sz w:val="28"/>
          <w:u w:val="single"/>
        </w:rPr>
        <w:t xml:space="preserve"> also </w:t>
      </w:r>
      <w:r>
        <w:rPr>
          <w:b/>
          <w:i w:val="0"/>
          <w:smallCaps w:val="0"/>
          <w:strike w:val="0"/>
          <w:sz w:val="28"/>
          <w:highlight w:val="cyan"/>
          <w:u w:val="single"/>
        </w:rPr>
        <w:t>enabled patent infringers to exploit Section 101 as a litigation weapon</w:t>
      </w:r>
      <w:r>
        <w:rPr>
          <w:b/>
          <w:i w:val="0"/>
          <w:smallCaps w:val="0"/>
          <w:strike w:val="0"/>
          <w:sz w:val="28"/>
          <w:u w:val="single"/>
        </w:rPr>
        <w:t xml:space="preserve"> exacting unnecessary burdens and costs on good-faith patent holders and the courts, further disincentivizing investment and innovation</w:t>
      </w:r>
      <w:r>
        <w:rPr>
          <w:b w:val="0"/>
          <w:i w:val="0"/>
          <w:smallCaps w:val="0"/>
          <w:strike w:val="0"/>
          <w:sz w:val="20"/>
          <w:u w:val="none"/>
        </w:rPr>
        <w:t xml:space="preserve">.  </w:t>
      </w:r>
      <w:r>
        <w:rPr>
          <w:b/>
          <w:i w:val="0"/>
          <w:smallCaps w:val="0"/>
          <w:strike w:val="0"/>
          <w:sz w:val="28"/>
          <w:u w:val="single"/>
        </w:rPr>
        <w:t xml:space="preserve">Patent </w:t>
      </w:r>
      <w:r>
        <w:rPr>
          <w:b/>
          <w:i w:val="0"/>
          <w:smallCaps w:val="0"/>
          <w:strike w:val="0"/>
          <w:sz w:val="28"/>
          <w:highlight w:val="cyan"/>
          <w:u w:val="single"/>
        </w:rPr>
        <w:t>infringers now routinely raise Section 101 as a defense</w:t>
      </w:r>
      <w:r>
        <w:rPr>
          <w:b w:val="0"/>
          <w:i w:val="0"/>
          <w:smallCaps w:val="0"/>
          <w:strike w:val="0"/>
          <w:sz w:val="20"/>
          <w:u w:val="none"/>
        </w:rPr>
        <w:t xml:space="preserve">, often merely </w:t>
      </w:r>
      <w:r>
        <w:rPr>
          <w:b/>
          <w:i w:val="0"/>
          <w:smallCaps w:val="0"/>
          <w:strike w:val="0"/>
          <w:sz w:val="28"/>
          <w:highlight w:val="cyan"/>
          <w:u w:val="single"/>
        </w:rPr>
        <w:t>as a strategy to complicate and prolong litigation</w:t>
      </w:r>
      <w:r>
        <w:rPr>
          <w:b w:val="0"/>
          <w:i w:val="0"/>
          <w:smallCaps w:val="0"/>
          <w:strike w:val="0"/>
          <w:sz w:val="20"/>
          <w:u w:val="none"/>
        </w:rPr>
        <w:t xml:space="preserve">, rather than as a good-faith defense.  One analysis found that </w:t>
      </w:r>
      <w:r>
        <w:rPr>
          <w:b/>
          <w:i w:val="0"/>
          <w:smallCaps w:val="0"/>
          <w:strike w:val="0"/>
          <w:sz w:val="28"/>
          <w:highlight w:val="cyan"/>
          <w:u w:val="single"/>
        </w:rPr>
        <w:t>from 2012 to 2014</w:t>
      </w:r>
      <w:r>
        <w:rPr>
          <w:b w:val="0"/>
          <w:i w:val="0"/>
          <w:smallCaps w:val="0"/>
          <w:strike w:val="0"/>
          <w:sz w:val="20"/>
          <w:u w:val="none"/>
        </w:rPr>
        <w:t xml:space="preserve"> (</w:t>
      </w:r>
      <w:r>
        <w:rPr>
          <w:b/>
          <w:i w:val="0"/>
          <w:smallCaps w:val="0"/>
          <w:strike w:val="0"/>
          <w:sz w:val="28"/>
          <w:highlight w:val="cyan"/>
          <w:u w:val="single"/>
        </w:rPr>
        <w:t>when Alice was decided</w:t>
      </w:r>
      <w:r>
        <w:rPr>
          <w:b w:val="0"/>
          <w:i w:val="0"/>
          <w:smallCaps w:val="0"/>
          <w:strike w:val="0"/>
          <w:sz w:val="20"/>
          <w:u w:val="none"/>
        </w:rPr>
        <w:t xml:space="preserve">), </w:t>
      </w:r>
      <w:r>
        <w:rPr>
          <w:b/>
          <w:i w:val="0"/>
          <w:smallCaps w:val="0"/>
          <w:strike w:val="0"/>
          <w:sz w:val="28"/>
          <w:highlight w:val="cyan"/>
          <w:u w:val="single"/>
        </w:rPr>
        <w:t>Section 101 was raised in just two</w:t>
      </w:r>
      <w:r>
        <w:rPr>
          <w:b w:val="0"/>
          <w:i w:val="0"/>
          <w:smallCaps w:val="0"/>
          <w:strike w:val="0"/>
          <w:sz w:val="20"/>
          <w:u w:val="none"/>
        </w:rPr>
        <w:t xml:space="preserve"> Rule 12(b)(6) </w:t>
      </w:r>
      <w:r>
        <w:rPr>
          <w:b/>
          <w:i w:val="0"/>
          <w:smallCaps w:val="0"/>
          <w:strike w:val="0"/>
          <w:sz w:val="28"/>
          <w:highlight w:val="cyan"/>
          <w:u w:val="single"/>
        </w:rPr>
        <w:t>motions</w:t>
      </w:r>
      <w:r>
        <w:rPr>
          <w:b/>
          <w:i w:val="0"/>
          <w:smallCaps w:val="0"/>
          <w:strike w:val="0"/>
          <w:sz w:val="28"/>
          <w:u w:val="single"/>
        </w:rPr>
        <w:t xml:space="preserve"> </w:t>
      </w:r>
      <w:r>
        <w:rPr>
          <w:b w:val="0"/>
          <w:i w:val="0"/>
          <w:smallCaps w:val="0"/>
          <w:strike w:val="0"/>
          <w:sz w:val="20"/>
          <w:u w:val="none"/>
        </w:rPr>
        <w:t xml:space="preserve">across the country each year.  In the year after Alice, that number rose to 36 motions, and </w:t>
      </w:r>
      <w:r>
        <w:rPr>
          <w:b/>
          <w:i w:val="0"/>
          <w:smallCaps w:val="0"/>
          <w:strike w:val="0"/>
          <w:sz w:val="28"/>
          <w:highlight w:val="cyan"/>
          <w:u w:val="single"/>
        </w:rPr>
        <w:t>by 2019, accused infringers were filing</w:t>
      </w:r>
      <w:r>
        <w:rPr>
          <w:b w:val="0"/>
          <w:i w:val="0"/>
          <w:smallCaps w:val="0"/>
          <w:strike w:val="0"/>
          <w:sz w:val="20"/>
          <w:u w:val="none"/>
        </w:rPr>
        <w:t xml:space="preserve"> nearly </w:t>
      </w:r>
      <w:r>
        <w:rPr>
          <w:b/>
          <w:i w:val="0"/>
          <w:smallCaps w:val="0"/>
          <w:strike w:val="0"/>
          <w:sz w:val="28"/>
          <w:highlight w:val="cyan"/>
          <w:u w:val="single"/>
        </w:rPr>
        <w:t xml:space="preserve">100 </w:t>
      </w:r>
      <w:r>
        <w:rPr>
          <w:b/>
          <w:i w:val="0"/>
          <w:smallCaps w:val="0"/>
          <w:strike w:val="0"/>
          <w:sz w:val="28"/>
          <w:u w:val="single"/>
        </w:rPr>
        <w:t xml:space="preserve">such </w:t>
      </w:r>
      <w:r>
        <w:rPr>
          <w:b/>
          <w:i w:val="0"/>
          <w:smallCaps w:val="0"/>
          <w:strike w:val="0"/>
          <w:sz w:val="28"/>
          <w:highlight w:val="cyan"/>
          <w:u w:val="single"/>
        </w:rPr>
        <w:t>motions each year.</w:t>
      </w:r>
      <w:r>
        <w:rPr>
          <w:b/>
          <w:i w:val="0"/>
          <w:smallCaps w:val="0"/>
          <w:strike w:val="0"/>
          <w:sz w:val="28"/>
          <w:u w:val="single"/>
        </w:rPr>
        <w:t xml:space="preserve">8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