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No link – unmodified genes are still ineligible under PERA and isolated gene eligibility is a </w:t>
      </w:r>
      <w:r>
        <w:rPr>
          <w:b/>
          <w:i w:val="0"/>
          <w:smallCaps w:val="0"/>
          <w:strike w:val="0"/>
          <w:sz w:val="28"/>
          <w:u w:val="single"/>
        </w:rPr>
        <w:t>prerequisite</w:t>
      </w:r>
      <w:r>
        <w:rPr>
          <w:b/>
          <w:i w:val="0"/>
          <w:smallCaps w:val="0"/>
          <w:strike w:val="0"/>
          <w:sz w:val="28"/>
          <w:u w:val="none"/>
        </w:rPr>
        <w:t xml:space="preserve"> to disease research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Mark </w:t>
      </w:r>
      <w:r>
        <w:rPr>
          <w:b/>
          <w:i w:val="0"/>
          <w:smallCaps w:val="0"/>
          <w:strike w:val="0"/>
          <w:sz w:val="24"/>
          <w:u w:val="none"/>
        </w:rPr>
        <w:t>Deem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Operating Partner at Lightstone Ventures, a Menlo Park-based firm that invests in innovative biotech and medtech companies. Questions for the Record from Senator Alex Padilla Senate Judiciary Committee “The Patent Eligibility Restoration Act – Restoring Clarity, Certainty, and Predictability to the U.S. Patent System” 1/23,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It is important to acknowledge the point that many opponents of PERA have advanced –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genes as part of the human body are not eligible and never were.  PERA emphasizes that unmodified genes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as they exist in the human body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will remain ineligible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PERA is intended to override the Supreme </w:t>
      </w:r>
      <w:r>
        <w:rPr>
          <w:b/>
          <w:i w:val="0"/>
          <w:smallCaps w:val="0"/>
          <w:strike w:val="0"/>
          <w:sz w:val="28"/>
          <w:u w:val="single"/>
        </w:rPr>
        <w:t>Court’s decision in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</w:t>
      </w:r>
      <w:r>
        <w:rPr>
          <w:b/>
          <w:i w:val="0"/>
          <w:smallCaps w:val="0"/>
          <w:strike w:val="0"/>
          <w:sz w:val="28"/>
          <w:u w:val="single"/>
        </w:rPr>
        <w:t xml:space="preserve">Myriad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Genetics case </w:t>
      </w:r>
      <w:r>
        <w:rPr>
          <w:b/>
          <w:i w:val="0"/>
          <w:smallCaps w:val="0"/>
          <w:strike w:val="0"/>
          <w:sz w:val="28"/>
          <w:u w:val="single"/>
        </w:rPr>
        <w:t>with respect to genes that have been isolated or otherwise modified by human effort.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 Stated differently,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PERA will allow the eligibility of “genes that have been isolated</w:t>
      </w:r>
      <w:r>
        <w:rPr>
          <w:b/>
          <w:i w:val="0"/>
          <w:smallCaps w:val="0"/>
          <w:strike w:val="0"/>
          <w:sz w:val="28"/>
          <w:u w:val="single"/>
        </w:rPr>
        <w:t>, purified, enriched or otherwise altered by human activity,” provided they meet the other statutory tests for patentability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Isolating a gene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to determine its specific function or the specific types of cell in which the gene expresses its particular protein often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requires a lengthy study and extensive experimentation</w:t>
      </w:r>
      <w:r>
        <w:rPr>
          <w:b/>
          <w:i w:val="0"/>
          <w:smallCaps w:val="0"/>
          <w:strike w:val="0"/>
          <w:sz w:val="28"/>
          <w:u w:val="single"/>
        </w:rPr>
        <w:t xml:space="preserve">. 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Patents create incentives to invest time and capital in determining the correlation between a particular gene and a particular disease state, so eligibility is an essential prerequisite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