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Status quo solves through the NDAA.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Bruce </w:t>
      </w:r>
      <w:r>
        <w:rPr>
          <w:b/>
          <w:i w:val="0"/>
          <w:smallCaps w:val="0"/>
          <w:strike w:val="0"/>
          <w:sz w:val="26"/>
          <w:u w:val="none"/>
        </w:rPr>
        <w:t>Klingner 21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Senior Research Fellow, Northeast Asia</w:t>
      </w:r>
      <w:r>
        <w:rPr>
          <w:b w:val="0"/>
          <w:i w:val="0"/>
          <w:smallCaps w:val="0"/>
          <w:strike w:val="0"/>
          <w:u w:val="none"/>
        </w:rPr>
        <w:t>. "North Korean Cyberattacks: A Dangerous and Evolving Threat."  Heritage Foundation. 9-2-2021. https://www.heritage.org/asia/report/north-korean-cyberattacks-dangerous-and-evolving-threat</w:t>
      </w:r>
      <w:r>
        <w:rPr>
          <w:b w:val="0"/>
          <w:i w:val="0"/>
          <w:smallCaps w:val="0"/>
          <w:strike w:val="0"/>
          <w:u w:val="none"/>
        </w:rPr>
        <w:t xml:space="preserve"> //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January 2021, </w:t>
      </w:r>
      <w:r>
        <w:rPr>
          <w:b/>
          <w:i w:val="0"/>
          <w:smallCaps w:val="0"/>
          <w:strike w:val="0"/>
          <w:sz w:val="22"/>
          <w:u w:val="single"/>
        </w:rPr>
        <w:t>Congress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enacted the </w:t>
      </w:r>
      <w:r>
        <w:rPr>
          <w:b/>
          <w:i w:val="0"/>
          <w:smallCaps w:val="0"/>
          <w:strike w:val="0"/>
          <w:sz w:val="22"/>
          <w:u w:val="single"/>
        </w:rPr>
        <w:t>National Defense Authorization Act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fiscal 2021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,50 which includes the Anti-Money Laundering Act of 2020. The statute updates U.S. anti-money laundering laws, significantly expands the U.S. government’s authority to subpoena documents held by foreign banks overseas, and codifies a $50,000 daily fine for failing to comply with subpoenas.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act also preserves the government’s ability to </w:t>
      </w:r>
      <w:r>
        <w:rPr>
          <w:b/>
          <w:i w:val="0"/>
          <w:smallCaps w:val="0"/>
          <w:strike w:val="0"/>
          <w:sz w:val="22"/>
          <w:u w:val="single"/>
        </w:rPr>
        <w:t>terminate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foreign correspondent </w:t>
      </w:r>
      <w:r>
        <w:rPr>
          <w:b/>
          <w:i w:val="0"/>
          <w:smallCaps w:val="0"/>
          <w:strike w:val="0"/>
          <w:sz w:val="22"/>
          <w:u w:val="single"/>
        </w:rPr>
        <w:t>accounts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U.S. financial system, which is a financial </w:t>
      </w:r>
      <w:r>
        <w:rPr>
          <w:b/>
          <w:i w:val="0"/>
          <w:smallCaps w:val="0"/>
          <w:strike w:val="0"/>
          <w:sz w:val="22"/>
          <w:u w:val="single"/>
        </w:rPr>
        <w:t>“death penalty”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foreign banks that do not </w:t>
      </w:r>
      <w:r>
        <w:rPr>
          <w:b/>
          <w:i w:val="0"/>
          <w:smallCaps w:val="0"/>
          <w:strike w:val="0"/>
          <w:sz w:val="22"/>
          <w:u w:val="single"/>
        </w:rPr>
        <w:t>comply</w:t>
      </w:r>
      <w:r>
        <w:rPr>
          <w:b w:val="0"/>
          <w:i w:val="0"/>
          <w:smallCaps w:val="0"/>
          <w:strike w:val="0"/>
          <w:sz w:val="22"/>
          <w:u w:val="single"/>
        </w:rPr>
        <w:t>.51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U.N. Panel of Experts recommended that member states should implement Financial Action Task Force standards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“that to manage and </w:t>
      </w:r>
      <w:r>
        <w:rPr>
          <w:b/>
          <w:i w:val="0"/>
          <w:smallCaps w:val="0"/>
          <w:strike w:val="0"/>
          <w:sz w:val="22"/>
          <w:u w:val="single"/>
        </w:rPr>
        <w:t>mitigate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risks emerging from </w:t>
      </w:r>
      <w:r>
        <w:rPr>
          <w:b/>
          <w:i w:val="0"/>
          <w:smallCaps w:val="0"/>
          <w:strike w:val="0"/>
          <w:sz w:val="22"/>
          <w:u w:val="single"/>
        </w:rPr>
        <w:t>virtual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assets,” such assets should be subject to enhanced monitoring and compliance standards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.52 The United States could augment its technical warning notices to include increased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emphasis on identifying North Korean </w:t>
      </w:r>
      <w:r>
        <w:rPr>
          <w:b/>
          <w:i w:val="0"/>
          <w:smallCaps w:val="0"/>
          <w:strike w:val="0"/>
          <w:sz w:val="22"/>
          <w:u w:val="single"/>
        </w:rPr>
        <w:t>attacks</w:t>
      </w:r>
      <w:r>
        <w:rPr>
          <w:b w:val="0"/>
          <w:i w:val="0"/>
          <w:smallCaps w:val="0"/>
          <w:strike w:val="0"/>
          <w:sz w:val="16"/>
          <w:u w:val="none"/>
        </w:rPr>
        <w:t>, specific actors and their virtual coin “wallets,” and techniques 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</w:t>
      </w:r>
      <w:r>
        <w:rPr>
          <w:b/>
          <w:i w:val="0"/>
          <w:smallCaps w:val="0"/>
          <w:strike w:val="0"/>
          <w:sz w:val="22"/>
          <w:u w:val="single"/>
        </w:rPr>
        <w:t>cryptocurrency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exchanges.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