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Cryptocurrency increases inflation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Godbole ‘24</w:t>
      </w:r>
      <w:r>
        <w:rPr>
          <w:b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[Omkar; March 5; Co-Managing Editor on CoinDesk's Markets team based in Mumbai, Omkar previously worked at FXStreet and Mumbai-based brokerage house as FX analyst and holds a masters degree in Finance; Coindesk; “Bitcoin's Price Rally May Add to Inflation. Here's Why”; https://www.coindesk.com/markets/2024/03/05/bitcoins-price-rally-may-add-to-inflation-heres-why/]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Bitcoin's (BTC) bull run could add to inflation in the U.S. economy, making it harder for the Federal Reserve to cut interest rates this year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leading cryptocurrency by market value has gained over 50% in 2024 already, extending last year's 155% surge to trade within striking distance of record highs near $69,000. Ether (ETH) has also surged, and the CoinDesk 20 Index, a broader market gauge, has jumped 57% this year. The total crypto market capitalization has added 53% to $2.64 trillion.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crypto market, which began as a niche segment for technology-savvy investors, has evolved into a mature asset class over the past three years, thanks to a decision by software developer MicroStrategy and other corporations to add bitcoin to their balance sheets as well as the successful launch of U.S.-listed futures and spot-based bitcoin exchange-traded funds.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2023 paper by Harvard Business School's Marco Di Maggio and his team of economists estimated that the marginal propensity to consume – the amount spent on consumption for each additional dollar earned – out of unrealized crypto market gains is double that of stocks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means a sharp rally in </w:t>
      </w:r>
      <w:r>
        <w:rPr>
          <w:b w:val="0"/>
          <w:i w:val="0"/>
          <w:smallCaps w:val="0"/>
          <w:strike w:val="0"/>
          <w:u w:val="single"/>
        </w:rPr>
        <w:t>crypto prices, like the current one, can lead to a wealth effect that injects inflation into the economy by creating extra demand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u w:val="single"/>
        </w:rPr>
        <w:t>The rise in bitcoin and ETH and alts is inflationary as it creates more money-like assets and a strong wealth effect for young people with a high marginal propensity to spend</w:t>
      </w:r>
      <w:r>
        <w:rPr>
          <w:b w:val="0"/>
          <w:i w:val="0"/>
          <w:smallCaps w:val="0"/>
          <w:strike w:val="0"/>
          <w:sz w:val="16"/>
          <w:u w:val="none"/>
        </w:rPr>
        <w:t>," Brent Donelly, president of Spectra Markets, said on X.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wealth effect is a behavioral economics concept that says that </w:t>
      </w:r>
      <w:r>
        <w:rPr>
          <w:b w:val="0"/>
          <w:i w:val="0"/>
          <w:smallCaps w:val="0"/>
          <w:strike w:val="0"/>
          <w:u w:val="single"/>
        </w:rPr>
        <w:t>individuals, households and businesses spend more when the value of their financial assets rises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That increased spending is financed, essentially, by wealth created out of thin air – asset price gains. However, </w:t>
      </w:r>
      <w:r>
        <w:rPr>
          <w:b w:val="0"/>
          <w:i w:val="0"/>
          <w:smallCaps w:val="0"/>
          <w:strike w:val="0"/>
          <w:u w:val="single"/>
        </w:rPr>
        <w:t>it adds to demand-side forces in the economy, putting upward pressure on prices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Fed and other central banks exploited the wealth effect to help handle the financial crash of 2008 and Covid hit of 2020, using unlimited bond purchases and zero-interest-rate policies to target the "asset prices and the wealth effect channel," the study said. That helped shore up consumption and lift domestic inflation rates toward the 2% target.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According to the Harvard study, crypto investors are everyday investors seeking to diversify their portfolios, leading to a wealth effect that is more pronounced in the housing sector.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u w:val="single"/>
        </w:rPr>
        <w:t>Crypto wealth causes house price appreciation—counties with higher crypto wealth see higher growth in home values following high crypto returns</w:t>
      </w:r>
      <w:r>
        <w:rPr>
          <w:b w:val="0"/>
          <w:i w:val="0"/>
          <w:smallCaps w:val="0"/>
          <w:strike w:val="0"/>
          <w:sz w:val="16"/>
          <w:u w:val="none"/>
        </w:rPr>
        <w:t>," the study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Over the years, the stock market has become more concentrated in the hands of the wealthy, which limits the wealth effect of an equities rally to luxury goods. </w:t>
      </w:r>
      <w:r>
        <w:rPr>
          <w:b w:val="0"/>
          <w:i w:val="0"/>
          <w:smallCaps w:val="0"/>
          <w:strike w:val="0"/>
          <w:u w:val="single"/>
        </w:rPr>
        <w:t>In contrast, the market for alternative cryptocurrencies is dominated by retail investors. As such, sharp rallies in altcoins could affect the general price level in the economy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That said, the crypto market isn't the only asset class on the move. The U.S. stock market has also jumped with both the broad-based S&amp;P 500 and tech-heavy Nasdaq Composite indexes hitting record highs in recent days.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</w:t>
      </w:r>
      <w:r>
        <w:rPr>
          <w:b w:val="0"/>
          <w:i w:val="0"/>
          <w:smallCaps w:val="0"/>
          <w:strike w:val="0"/>
          <w:u w:val="single"/>
        </w:rPr>
        <w:t>Both are creating a simultaneous inflationary wealth effect for two wildly different demographics that believe in two wildly different narratives," Spectra Markets' Donelly said on X, explaining the inflationary impact of the crypto-market rally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Bitcoin (line plot) has tracked the Nasdaq (NDX)-to-S&amp;P 500 (SPX) ratio (candle plot) higher. (TradingView)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Bitcoin (line plot) has tracked the Nasdaq (NDX)-to-S&amp;P 500 (SPX) ratio (candle plot) higher. (TradingView) (TradingView)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Fed to reassess rate cut projection?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December, the Fed said it would make three quarter-point interest-rate cuts by the end of 2024, bringing the benchmark borrowing cost down to 4.6%.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u w:val="single"/>
        </w:rPr>
        <w:t>spillover effects from the crypto and stock market rallies might force the central bank to walk back on its estimates and hold rates higher for longer.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central bank raised rates by 525 basis points between March 2022 and July 2023 to tame growth in the consumer price index, which had risen as high as 9.1% in mid-2022. As of January, the inflation rate on an annual basis stood at 3.1%.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