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Common law</w:t>
      </w:r>
      <w:r>
        <w:rPr>
          <w:b/>
          <w:i w:val="0"/>
          <w:smallCaps w:val="0"/>
          <w:strike w:val="0"/>
          <w:sz w:val="26"/>
          <w:u w:val="none"/>
        </w:rPr>
        <w:t xml:space="preserve"> judicial action more closely </w:t>
      </w:r>
      <w:r>
        <w:rPr>
          <w:b/>
          <w:i w:val="0"/>
          <w:smallCaps w:val="0"/>
          <w:strike w:val="0"/>
          <w:sz w:val="26"/>
          <w:u w:val="single"/>
        </w:rPr>
        <w:t>harmonizes</w:t>
      </w:r>
      <w:r>
        <w:rPr>
          <w:b/>
          <w:i w:val="0"/>
          <w:smallCaps w:val="0"/>
          <w:strike w:val="0"/>
          <w:sz w:val="26"/>
          <w:u w:val="none"/>
        </w:rPr>
        <w:t xml:space="preserve"> and </w:t>
      </w:r>
      <w:r>
        <w:rPr>
          <w:b/>
          <w:i w:val="0"/>
          <w:smallCaps w:val="0"/>
          <w:strike w:val="0"/>
          <w:sz w:val="26"/>
          <w:u w:val="single"/>
        </w:rPr>
        <w:t>tailors</w:t>
      </w:r>
      <w:r>
        <w:rPr>
          <w:b/>
          <w:i w:val="0"/>
          <w:smallCaps w:val="0"/>
          <w:strike w:val="0"/>
          <w:sz w:val="26"/>
          <w:u w:val="none"/>
        </w:rPr>
        <w:t xml:space="preserve"> law for industries---</w:t>
      </w:r>
      <w:r>
        <w:rPr>
          <w:b/>
          <w:i w:val="0"/>
          <w:smallCaps w:val="0"/>
          <w:strike w:val="0"/>
          <w:sz w:val="26"/>
          <w:u w:val="single"/>
        </w:rPr>
        <w:t>state courts</w:t>
      </w:r>
      <w:r>
        <w:rPr>
          <w:b/>
          <w:i w:val="0"/>
          <w:smallCaps w:val="0"/>
          <w:strike w:val="0"/>
          <w:sz w:val="26"/>
          <w:u w:val="none"/>
        </w:rPr>
        <w:t xml:space="preserve"> on </w:t>
      </w:r>
      <w:r>
        <w:rPr>
          <w:b/>
          <w:i w:val="0"/>
          <w:smallCaps w:val="0"/>
          <w:strike w:val="0"/>
          <w:sz w:val="26"/>
          <w:u w:val="single"/>
        </w:rPr>
        <w:t>trade secrets</w:t>
      </w:r>
      <w:r>
        <w:rPr>
          <w:b/>
          <w:i w:val="0"/>
          <w:smallCaps w:val="0"/>
          <w:strike w:val="0"/>
          <w:sz w:val="26"/>
          <w:u w:val="none"/>
        </w:rPr>
        <w:t xml:space="preserve"> prove.</w:t>
      </w:r>
    </w:p>
    <w:p>
      <w:pPr>
        <w:spacing w:after="80"/>
      </w:pPr>
      <w:r>
        <w:rPr>
          <w:b w:val="0"/>
          <w:i w:val="0"/>
          <w:smallCaps w:val="0"/>
          <w:strike w:val="0"/>
          <w:u w:val="none"/>
        </w:rPr>
        <w:t xml:space="preserve">Shyamkrishna </w:t>
      </w:r>
      <w:r>
        <w:rPr>
          <w:b/>
          <w:i w:val="0"/>
          <w:smallCaps w:val="0"/>
          <w:strike w:val="0"/>
          <w:sz w:val="26"/>
          <w:u w:val="none"/>
        </w:rPr>
        <w:t>Balganesh 10</w:t>
      </w:r>
      <w:r>
        <w:rPr>
          <w:b w:val="0"/>
          <w:i w:val="0"/>
          <w:smallCaps w:val="0"/>
          <w:strike w:val="0"/>
          <w:u w:val="none"/>
        </w:rPr>
        <w:t xml:space="preserve">. [Assistant Professor of Law, University of Pennsylvania Law School. “The Pragmatic Incrementalism of Common Law Intellectual Property” </w:t>
      </w:r>
      <w:r>
        <w:rPr>
          <w:b w:val="0"/>
          <w:i/>
          <w:smallCaps w:val="0"/>
          <w:strike w:val="0"/>
          <w:u w:val="none"/>
        </w:rPr>
        <w:t>Vanderbilt Law Review</w:t>
      </w:r>
      <w:r>
        <w:rPr>
          <w:b w:val="0"/>
          <w:i w:val="0"/>
          <w:smallCaps w:val="0"/>
          <w:strike w:val="0"/>
          <w:u w:val="none"/>
        </w:rPr>
        <w:t>, volume 63, issue 6. November 2010. https://scholarship.law.upenn.edu/faculty_scholarship/305/]//dawn</w:t>
      </w:r>
    </w:p>
    <w:p>
      <w:pPr>
        <w:spacing w:after="60"/>
      </w:pPr>
      <w:r>
        <w:rPr>
          <w:b w:val="0"/>
          <w:i w:val="0"/>
          <w:smallCaps w:val="0"/>
          <w:strike w:val="0"/>
          <w:u w:val="none"/>
        </w:rPr>
        <w:t xml:space="preserve">In an effort </w:t>
      </w:r>
      <w:r>
        <w:rPr>
          <w:b w:val="0"/>
          <w:i w:val="0"/>
          <w:smallCaps w:val="0"/>
          <w:strike w:val="0"/>
          <w:sz w:val="22"/>
          <w:u w:val="single"/>
        </w:rPr>
        <w:t xml:space="preserve">to harmonize </w:t>
      </w:r>
      <w:r>
        <w:rPr>
          <w:b w:val="0"/>
          <w:i w:val="0"/>
          <w:smallCaps w:val="0"/>
          <w:strike w:val="0"/>
          <w:u w:val="none"/>
        </w:rPr>
        <w:t xml:space="preserve">the </w:t>
      </w:r>
      <w:r>
        <w:rPr>
          <w:b w:val="0"/>
          <w:i w:val="0"/>
          <w:smallCaps w:val="0"/>
          <w:strike w:val="0"/>
          <w:sz w:val="22"/>
          <w:u w:val="single"/>
        </w:rPr>
        <w:t>law across different states, some state legislatures</w:t>
      </w:r>
      <w:r>
        <w:rPr>
          <w:b w:val="0"/>
          <w:i w:val="0"/>
          <w:smallCaps w:val="0"/>
          <w:strike w:val="0"/>
          <w:u w:val="none"/>
        </w:rPr>
        <w:t xml:space="preserve"> have </w:t>
      </w:r>
      <w:r>
        <w:rPr>
          <w:b w:val="0"/>
          <w:i w:val="0"/>
          <w:smallCaps w:val="0"/>
          <w:strike w:val="0"/>
          <w:sz w:val="22"/>
          <w:u w:val="single"/>
        </w:rPr>
        <w:t>codified</w:t>
      </w:r>
      <w:r>
        <w:rPr>
          <w:b w:val="0"/>
          <w:i w:val="0"/>
          <w:smallCaps w:val="0"/>
          <w:strike w:val="0"/>
          <w:u w:val="none"/>
        </w:rPr>
        <w:t xml:space="preserve"> these </w:t>
      </w:r>
      <w:r>
        <w:rPr>
          <w:b w:val="0"/>
          <w:i w:val="0"/>
          <w:smallCaps w:val="0"/>
          <w:strike w:val="0"/>
          <w:sz w:val="22"/>
          <w:u w:val="single"/>
        </w:rPr>
        <w:t>common law intellectual property regimes.</w:t>
      </w:r>
      <w:r>
        <w:rPr>
          <w:b w:val="0"/>
          <w:i w:val="0"/>
          <w:smallCaps w:val="0"/>
          <w:strike w:val="0"/>
          <w:u w:val="none"/>
        </w:rPr>
        <w:t xml:space="preserve">26 </w:t>
      </w:r>
      <w:r>
        <w:rPr>
          <w:b w:val="0"/>
          <w:i w:val="0"/>
          <w:smallCaps w:val="0"/>
          <w:strike w:val="0"/>
          <w:sz w:val="22"/>
          <w:u w:val="single"/>
        </w:rPr>
        <w:t>This process</w:t>
      </w:r>
      <w:r>
        <w:rPr>
          <w:b w:val="0"/>
          <w:i w:val="0"/>
          <w:smallCaps w:val="0"/>
          <w:strike w:val="0"/>
          <w:u w:val="none"/>
        </w:rPr>
        <w:t xml:space="preserve"> has </w:t>
      </w:r>
      <w:r>
        <w:rPr>
          <w:b w:val="0"/>
          <w:i w:val="0"/>
          <w:smallCaps w:val="0"/>
          <w:strike w:val="0"/>
          <w:sz w:val="22"/>
          <w:u w:val="single"/>
        </w:rPr>
        <w:t>impeded courts' ability to rely exclusively on case law as their source of rules</w:t>
      </w:r>
      <w:r>
        <w:rPr>
          <w:b w:val="0"/>
          <w:i w:val="0"/>
          <w:smallCaps w:val="0"/>
          <w:strike w:val="0"/>
          <w:u w:val="none"/>
        </w:rPr>
        <w:t xml:space="preserve">. Nonetheless, </w:t>
      </w:r>
      <w:r>
        <w:rPr>
          <w:b w:val="0"/>
          <w:i w:val="0"/>
          <w:smallCaps w:val="0"/>
          <w:strike w:val="0"/>
          <w:sz w:val="22"/>
          <w:u w:val="single"/>
        </w:rPr>
        <w:t>courts continue to develop the law as needed</w:t>
      </w:r>
      <w:r>
        <w:rPr>
          <w:b w:val="0"/>
          <w:i w:val="0"/>
          <w:smallCaps w:val="0"/>
          <w:strike w:val="0"/>
          <w:u w:val="none"/>
        </w:rPr>
        <w:t xml:space="preserve">, often </w:t>
      </w:r>
      <w:r>
        <w:rPr>
          <w:b w:val="0"/>
          <w:i w:val="0"/>
          <w:smallCaps w:val="0"/>
          <w:strike w:val="0"/>
          <w:sz w:val="22"/>
          <w:u w:val="single"/>
        </w:rPr>
        <w:t>independent of the statutes</w:t>
      </w:r>
      <w:r>
        <w:rPr>
          <w:b w:val="0"/>
          <w:i w:val="0"/>
          <w:smallCaps w:val="0"/>
          <w:strike w:val="0"/>
          <w:u w:val="none"/>
        </w:rPr>
        <w:t>, and in the traditional, if somewhat attenuated, common law method. Courts work in tandem with legislatures in these contexts, retaining a secondary, but significant, role.</w:t>
      </w:r>
    </w:p>
    <w:p>
      <w:pPr>
        <w:spacing w:after="60"/>
      </w:pPr>
      <w:r>
        <w:rPr>
          <w:b w:val="0"/>
          <w:i w:val="0"/>
          <w:smallCaps w:val="0"/>
          <w:strike w:val="0"/>
          <w:u w:val="none"/>
        </w:rPr>
        <w:t xml:space="preserve">Second, </w:t>
      </w:r>
      <w:r>
        <w:rPr>
          <w:b w:val="0"/>
          <w:i w:val="0"/>
          <w:smallCaps w:val="0"/>
          <w:strike w:val="0"/>
          <w:sz w:val="22"/>
          <w:u w:val="single"/>
        </w:rPr>
        <w:t>the idea of intellectual property</w:t>
      </w:r>
      <w:r>
        <w:rPr>
          <w:b w:val="0"/>
          <w:i w:val="0"/>
          <w:smallCaps w:val="0"/>
          <w:strike w:val="0"/>
          <w:u w:val="none"/>
        </w:rPr>
        <w:t xml:space="preserve"> in these regimes </w:t>
      </w:r>
      <w:r>
        <w:rPr>
          <w:b/>
          <w:i w:val="0"/>
          <w:smallCaps w:val="0"/>
          <w:strike w:val="0"/>
          <w:sz w:val="22"/>
          <w:u w:val="single"/>
        </w:rPr>
        <w:t>is intricately</w:t>
      </w:r>
      <w:r>
        <w:rPr>
          <w:b w:val="0"/>
          <w:i w:val="0"/>
          <w:smallCaps w:val="0"/>
          <w:strike w:val="0"/>
          <w:u w:val="none"/>
        </w:rPr>
        <w:t xml:space="preserve"> </w:t>
      </w:r>
      <w:r>
        <w:rPr>
          <w:b/>
          <w:i w:val="0"/>
          <w:smallCaps w:val="0"/>
          <w:strike w:val="0"/>
          <w:sz w:val="22"/>
          <w:u w:val="single"/>
        </w:rPr>
        <w:t>connected</w:t>
      </w:r>
      <w:r>
        <w:rPr>
          <w:b w:val="0"/>
          <w:i w:val="0"/>
          <w:smallCaps w:val="0"/>
          <w:strike w:val="0"/>
          <w:u w:val="none"/>
        </w:rPr>
        <w:t xml:space="preserve"> </w:t>
      </w:r>
      <w:r>
        <w:rPr>
          <w:b w:val="0"/>
          <w:i w:val="0"/>
          <w:smallCaps w:val="0"/>
          <w:strike w:val="0"/>
          <w:sz w:val="22"/>
          <w:u w:val="single"/>
        </w:rPr>
        <w:t>to</w:t>
      </w:r>
      <w:r>
        <w:rPr>
          <w:b w:val="0"/>
          <w:i w:val="0"/>
          <w:smallCaps w:val="0"/>
          <w:strike w:val="0"/>
          <w:u w:val="none"/>
        </w:rPr>
        <w:t xml:space="preserve"> the concept of </w:t>
      </w:r>
      <w:r>
        <w:rPr>
          <w:b w:val="0"/>
          <w:i w:val="0"/>
          <w:smallCaps w:val="0"/>
          <w:strike w:val="0"/>
          <w:sz w:val="22"/>
          <w:u w:val="single"/>
        </w:rPr>
        <w:t>common law</w:t>
      </w:r>
      <w:r>
        <w:rPr>
          <w:b w:val="0"/>
          <w:i w:val="0"/>
          <w:smallCaps w:val="0"/>
          <w:strike w:val="0"/>
          <w:u w:val="none"/>
        </w:rPr>
        <w:t xml:space="preserve"> property. </w:t>
      </w:r>
      <w:r>
        <w:rPr>
          <w:b w:val="0"/>
          <w:i w:val="0"/>
          <w:smallCaps w:val="0"/>
          <w:strike w:val="0"/>
          <w:sz w:val="22"/>
          <w:u w:val="single"/>
        </w:rPr>
        <w:t>Common law property interests revolve around</w:t>
      </w:r>
      <w:r>
        <w:rPr>
          <w:b w:val="0"/>
          <w:i w:val="0"/>
          <w:smallCaps w:val="0"/>
          <w:strike w:val="0"/>
          <w:u w:val="none"/>
        </w:rPr>
        <w:t xml:space="preserve"> the idea of </w:t>
      </w:r>
      <w:r>
        <w:rPr>
          <w:b w:val="0"/>
          <w:i w:val="0"/>
          <w:smallCaps w:val="0"/>
          <w:strike w:val="0"/>
          <w:sz w:val="22"/>
          <w:u w:val="single"/>
        </w:rPr>
        <w:t>exclusion</w:t>
      </w:r>
      <w:r>
        <w:rPr>
          <w:b w:val="0"/>
          <w:i w:val="0"/>
          <w:smallCaps w:val="0"/>
          <w:strike w:val="0"/>
          <w:u w:val="none"/>
        </w:rPr>
        <w:t xml:space="preserve"> </w:t>
      </w:r>
      <w:r>
        <w:rPr>
          <w:b w:val="0"/>
          <w:i w:val="0"/>
          <w:smallCaps w:val="0"/>
          <w:strike w:val="0"/>
          <w:sz w:val="22"/>
          <w:u w:val="single"/>
        </w:rPr>
        <w:t>and use a variety of mechanisms to render it operational</w:t>
      </w:r>
      <w:r>
        <w:rPr>
          <w:b w:val="0"/>
          <w:i w:val="0"/>
          <w:smallCaps w:val="0"/>
          <w:strike w:val="0"/>
          <w:u w:val="none"/>
        </w:rPr>
        <w:t xml:space="preserve">. 27 </w:t>
      </w:r>
      <w:r>
        <w:rPr>
          <w:b w:val="0"/>
          <w:i w:val="0"/>
          <w:smallCaps w:val="0"/>
          <w:strike w:val="0"/>
          <w:sz w:val="22"/>
          <w:u w:val="single"/>
        </w:rPr>
        <w:t>Since</w:t>
      </w:r>
      <w:r>
        <w:rPr>
          <w:b w:val="0"/>
          <w:i w:val="0"/>
          <w:smallCaps w:val="0"/>
          <w:strike w:val="0"/>
          <w:u w:val="none"/>
        </w:rPr>
        <w:t xml:space="preserve"> the </w:t>
      </w:r>
      <w:r>
        <w:rPr>
          <w:b w:val="0"/>
          <w:i w:val="0"/>
          <w:smallCaps w:val="0"/>
          <w:strike w:val="0"/>
          <w:sz w:val="22"/>
          <w:u w:val="single"/>
        </w:rPr>
        <w:t>common law</w:t>
      </w:r>
      <w:r>
        <w:rPr>
          <w:b w:val="0"/>
          <w:i w:val="0"/>
          <w:smallCaps w:val="0"/>
          <w:strike w:val="0"/>
          <w:u w:val="none"/>
        </w:rPr>
        <w:t xml:space="preserve"> process </w:t>
      </w:r>
      <w:r>
        <w:rPr>
          <w:b w:val="0"/>
          <w:i w:val="0"/>
          <w:smallCaps w:val="0"/>
          <w:strike w:val="0"/>
          <w:sz w:val="22"/>
          <w:u w:val="single"/>
        </w:rPr>
        <w:t>involves a bilateral dispute</w:t>
      </w:r>
      <w:r>
        <w:rPr>
          <w:b w:val="0"/>
          <w:i w:val="0"/>
          <w:smallCaps w:val="0"/>
          <w:strike w:val="0"/>
          <w:u w:val="none"/>
        </w:rPr>
        <w:t>, comm</w:t>
      </w:r>
      <w:r>
        <w:rPr>
          <w:b w:val="0"/>
          <w:i w:val="0"/>
          <w:smallCaps w:val="0"/>
          <w:strike w:val="0"/>
          <w:sz w:val="22"/>
          <w:u w:val="single"/>
        </w:rPr>
        <w:t>on law property interests are ordinarily relational</w:t>
      </w:r>
      <w:r>
        <w:rPr>
          <w:b w:val="0"/>
          <w:i w:val="0"/>
          <w:smallCaps w:val="0"/>
          <w:strike w:val="0"/>
          <w:u w:val="none"/>
        </w:rPr>
        <w:t xml:space="preserve">. </w:t>
      </w:r>
      <w:r>
        <w:rPr>
          <w:b w:val="0"/>
          <w:i w:val="0"/>
          <w:smallCaps w:val="0"/>
          <w:strike w:val="0"/>
          <w:sz w:val="22"/>
          <w:u w:val="single"/>
        </w:rPr>
        <w:t>In other words</w:t>
      </w:r>
      <w:r>
        <w:rPr>
          <w:b w:val="0"/>
          <w:i w:val="0"/>
          <w:smallCaps w:val="0"/>
          <w:strike w:val="0"/>
          <w:u w:val="none"/>
        </w:rPr>
        <w:t xml:space="preserve">, </w:t>
      </w:r>
      <w:r>
        <w:rPr>
          <w:b w:val="0"/>
          <w:i w:val="0"/>
          <w:smallCaps w:val="0"/>
          <w:strike w:val="0"/>
          <w:sz w:val="22"/>
          <w:u w:val="single"/>
        </w:rPr>
        <w:t>they originate in actions</w:t>
      </w:r>
      <w:r>
        <w:rPr>
          <w:b w:val="0"/>
          <w:i w:val="0"/>
          <w:smallCaps w:val="0"/>
          <w:strike w:val="0"/>
          <w:u w:val="none"/>
        </w:rPr>
        <w:t xml:space="preserve"> </w:t>
      </w:r>
      <w:r>
        <w:rPr>
          <w:b w:val="0"/>
          <w:i w:val="0"/>
          <w:smallCaps w:val="0"/>
          <w:strike w:val="0"/>
          <w:sz w:val="22"/>
          <w:u w:val="single"/>
        </w:rPr>
        <w:t>alleging an interference with a pre-existing interest</w:t>
      </w:r>
      <w:r>
        <w:rPr>
          <w:b w:val="0"/>
          <w:i w:val="0"/>
          <w:smallCaps w:val="0"/>
          <w:strike w:val="0"/>
          <w:u w:val="none"/>
        </w:rPr>
        <w:t xml:space="preserve">, and in adjudicating the interference, </w:t>
      </w:r>
      <w:r>
        <w:rPr>
          <w:b w:val="0"/>
          <w:i w:val="0"/>
          <w:smallCaps w:val="0"/>
          <w:strike w:val="0"/>
          <w:sz w:val="22"/>
          <w:u w:val="single"/>
        </w:rPr>
        <w:t>courts determine the nature and existence of the interest alleged to have been interfered with.</w:t>
      </w:r>
    </w:p>
    <w:p>
      <w:pPr>
        <w:spacing w:after="60"/>
      </w:pPr>
      <w:r>
        <w:rPr>
          <w:b w:val="0"/>
          <w:i w:val="0"/>
          <w:smallCaps w:val="0"/>
          <w:strike w:val="0"/>
          <w:u w:val="none"/>
        </w:rPr>
        <w:t xml:space="preserve">For long, the only reason the distinction between property and nonproperty interests mattered was that courts refused to grant injunctions for nonproprietary interests. 28 Once equity relaxed this rule, the distinction ceased to be of much significance. Many of what are today termed "common law property interests" originated in tortious, contractual, or quasi-contractual settings.29 They continue to be called "property" interests because they convey an ex ante possibility of exclusion in certain situations. Thus, trespassory action is ordinarily referred to as a property action even though exclusion is tied to a defendant's actions (that is, the wrong); the same is true of common law intellectual property regimes. The idea of "property" here is subsidiary to the context within which the interest originates, which tends to be either contractual (where rights and duties are determined by parties themselves) or tortious (where rights and duties are prescribed by law). </w:t>
      </w:r>
      <w:r>
        <w:rPr>
          <w:b w:val="0"/>
          <w:i w:val="0"/>
          <w:smallCaps w:val="0"/>
          <w:strike w:val="0"/>
          <w:sz w:val="22"/>
          <w:u w:val="single"/>
        </w:rPr>
        <w:t>In relation to trade, secrets, perhaps the most robust common law intellectual property form today</w:t>
      </w:r>
      <w:r>
        <w:rPr>
          <w:b w:val="0"/>
          <w:i w:val="0"/>
          <w:smallCaps w:val="0"/>
          <w:strike w:val="0"/>
          <w:u w:val="none"/>
        </w:rPr>
        <w:t xml:space="preserve">, Justice </w:t>
      </w:r>
      <w:r>
        <w:rPr>
          <w:b w:val="0"/>
          <w:i w:val="0"/>
          <w:smallCaps w:val="0"/>
          <w:strike w:val="0"/>
          <w:sz w:val="22"/>
          <w:u w:val="single"/>
        </w:rPr>
        <w:t>Holmes</w:t>
      </w:r>
      <w:r>
        <w:rPr>
          <w:b w:val="0"/>
          <w:i w:val="0"/>
          <w:smallCaps w:val="0"/>
          <w:strike w:val="0"/>
          <w:u w:val="none"/>
        </w:rPr>
        <w:t xml:space="preserve"> famously </w:t>
      </w:r>
      <w:r>
        <w:rPr>
          <w:b w:val="0"/>
          <w:i w:val="0"/>
          <w:smallCaps w:val="0"/>
          <w:strike w:val="0"/>
          <w:sz w:val="22"/>
          <w:u w:val="single"/>
        </w:rPr>
        <w:t>remarked</w:t>
      </w:r>
      <w:r>
        <w:rPr>
          <w:b w:val="0"/>
          <w:i w:val="0"/>
          <w:smallCaps w:val="0"/>
          <w:strike w:val="0"/>
          <w:u w:val="none"/>
        </w:rPr>
        <w:t>:</w:t>
      </w:r>
    </w:p>
    <w:p>
      <w:pPr>
        <w:spacing w:after="60"/>
      </w:pPr>
      <w:r>
        <w:rPr>
          <w:b w:val="0"/>
          <w:i w:val="0"/>
          <w:smallCaps w:val="0"/>
          <w:strike w:val="0"/>
          <w:u w:val="none"/>
        </w:rPr>
        <w:t>The word "</w:t>
      </w:r>
      <w:r>
        <w:rPr>
          <w:b w:val="0"/>
          <w:i w:val="0"/>
          <w:smallCaps w:val="0"/>
          <w:strike w:val="0"/>
          <w:sz w:val="22"/>
          <w:u w:val="single"/>
        </w:rPr>
        <w:t>property</w:t>
      </w:r>
      <w:r>
        <w:rPr>
          <w:b w:val="0"/>
          <w:i w:val="0"/>
          <w:smallCaps w:val="0"/>
          <w:strike w:val="0"/>
          <w:u w:val="none"/>
        </w:rPr>
        <w:t xml:space="preserve">" . . . </w:t>
      </w:r>
      <w:r>
        <w:rPr>
          <w:b w:val="0"/>
          <w:i w:val="0"/>
          <w:smallCaps w:val="0"/>
          <w:strike w:val="0"/>
          <w:sz w:val="22"/>
          <w:u w:val="single"/>
        </w:rPr>
        <w:t>is</w:t>
      </w:r>
      <w:r>
        <w:rPr>
          <w:b w:val="0"/>
          <w:i w:val="0"/>
          <w:smallCaps w:val="0"/>
          <w:strike w:val="0"/>
          <w:u w:val="none"/>
        </w:rPr>
        <w:t xml:space="preserve"> an </w:t>
      </w:r>
      <w:r>
        <w:rPr>
          <w:b w:val="0"/>
          <w:i w:val="0"/>
          <w:smallCaps w:val="0"/>
          <w:strike w:val="0"/>
          <w:sz w:val="22"/>
          <w:u w:val="single"/>
        </w:rPr>
        <w:t>unanalyzed</w:t>
      </w:r>
      <w:r>
        <w:rPr>
          <w:b w:val="0"/>
          <w:i w:val="0"/>
          <w:smallCaps w:val="0"/>
          <w:strike w:val="0"/>
          <w:u w:val="none"/>
        </w:rPr>
        <w:t xml:space="preserve"> expression of certain secondary consequences of the primary fact that the law makes some rudimentary requirements of good faith. </w:t>
      </w:r>
      <w:r>
        <w:rPr>
          <w:b w:val="0"/>
          <w:i w:val="0"/>
          <w:smallCaps w:val="0"/>
          <w:strike w:val="0"/>
          <w:sz w:val="22"/>
          <w:u w:val="single"/>
        </w:rPr>
        <w:t>Whether the plaintiffs have any valuable secret or not the defendant knows the facts</w:t>
      </w:r>
      <w:r>
        <w:rPr>
          <w:b w:val="0"/>
          <w:i w:val="0"/>
          <w:smallCaps w:val="0"/>
          <w:strike w:val="0"/>
          <w:u w:val="none"/>
        </w:rPr>
        <w:t xml:space="preserve">, whatever they are, </w:t>
      </w:r>
      <w:r>
        <w:rPr>
          <w:b w:val="0"/>
          <w:i w:val="0"/>
          <w:smallCaps w:val="0"/>
          <w:strike w:val="0"/>
          <w:sz w:val="22"/>
          <w:u w:val="single"/>
        </w:rPr>
        <w:t>through</w:t>
      </w:r>
      <w:r>
        <w:rPr>
          <w:b w:val="0"/>
          <w:i w:val="0"/>
          <w:smallCaps w:val="0"/>
          <w:strike w:val="0"/>
          <w:u w:val="none"/>
        </w:rPr>
        <w:t xml:space="preserve"> a </w:t>
      </w:r>
      <w:r>
        <w:rPr>
          <w:b w:val="0"/>
          <w:i w:val="0"/>
          <w:smallCaps w:val="0"/>
          <w:strike w:val="0"/>
          <w:sz w:val="22"/>
          <w:u w:val="single"/>
        </w:rPr>
        <w:t>special confidence</w:t>
      </w:r>
      <w:r>
        <w:rPr>
          <w:b w:val="0"/>
          <w:i w:val="0"/>
          <w:smallCaps w:val="0"/>
          <w:strike w:val="0"/>
          <w:u w:val="none"/>
        </w:rPr>
        <w:t xml:space="preserve"> that he accepted. </w:t>
      </w:r>
      <w:r>
        <w:rPr>
          <w:b w:val="0"/>
          <w:i w:val="0"/>
          <w:smallCaps w:val="0"/>
          <w:strike w:val="0"/>
          <w:sz w:val="22"/>
          <w:u w:val="single"/>
        </w:rPr>
        <w:t>The property may be denied, but the confidence cannot be</w:t>
      </w:r>
      <w:r>
        <w:rPr>
          <w:b w:val="0"/>
          <w:i w:val="0"/>
          <w:smallCaps w:val="0"/>
          <w:strike w:val="0"/>
          <w:u w:val="none"/>
        </w:rPr>
        <w:t xml:space="preserve">. </w:t>
      </w:r>
      <w:r>
        <w:rPr>
          <w:b w:val="0"/>
          <w:i w:val="0"/>
          <w:smallCaps w:val="0"/>
          <w:strike w:val="0"/>
          <w:sz w:val="22"/>
          <w:u w:val="single"/>
        </w:rPr>
        <w:t>Therefore</w:t>
      </w:r>
      <w:r>
        <w:rPr>
          <w:b w:val="0"/>
          <w:i w:val="0"/>
          <w:smallCaps w:val="0"/>
          <w:strike w:val="0"/>
          <w:u w:val="none"/>
        </w:rPr>
        <w:t xml:space="preserve">, </w:t>
      </w:r>
      <w:r>
        <w:rPr>
          <w:b w:val="0"/>
          <w:i w:val="0"/>
          <w:smallCaps w:val="0"/>
          <w:strike w:val="0"/>
          <w:sz w:val="22"/>
          <w:u w:val="single"/>
        </w:rPr>
        <w:t>the starting point</w:t>
      </w:r>
      <w:r>
        <w:rPr>
          <w:b w:val="0"/>
          <w:i w:val="0"/>
          <w:smallCaps w:val="0"/>
          <w:strike w:val="0"/>
          <w:u w:val="none"/>
        </w:rPr>
        <w:t xml:space="preserve"> of the present matter is </w:t>
      </w:r>
      <w:r>
        <w:rPr>
          <w:b w:val="0"/>
          <w:i w:val="0"/>
          <w:smallCaps w:val="0"/>
          <w:strike w:val="0"/>
          <w:sz w:val="22"/>
          <w:u w:val="single"/>
        </w:rPr>
        <w:t>not property</w:t>
      </w:r>
      <w:r>
        <w:rPr>
          <w:b w:val="0"/>
          <w:i w:val="0"/>
          <w:smallCaps w:val="0"/>
          <w:strike w:val="0"/>
          <w:u w:val="none"/>
        </w:rPr>
        <w:t xml:space="preserve"> . . . </w:t>
      </w:r>
      <w:r>
        <w:rPr>
          <w:b w:val="0"/>
          <w:i w:val="0"/>
          <w:smallCaps w:val="0"/>
          <w:strike w:val="0"/>
          <w:sz w:val="22"/>
          <w:u w:val="single"/>
        </w:rPr>
        <w:t>but</w:t>
      </w:r>
      <w:r>
        <w:rPr>
          <w:b w:val="0"/>
          <w:i w:val="0"/>
          <w:smallCaps w:val="0"/>
          <w:strike w:val="0"/>
          <w:u w:val="none"/>
        </w:rPr>
        <w:t xml:space="preserve"> that the defendant stood in </w:t>
      </w:r>
      <w:r>
        <w:rPr>
          <w:b w:val="0"/>
          <w:i w:val="0"/>
          <w:smallCaps w:val="0"/>
          <w:strike w:val="0"/>
          <w:sz w:val="22"/>
          <w:u w:val="single"/>
        </w:rPr>
        <w:t>confidential relations</w:t>
      </w:r>
      <w:r>
        <w:rPr>
          <w:b w:val="0"/>
          <w:i w:val="0"/>
          <w:smallCaps w:val="0"/>
          <w:strike w:val="0"/>
          <w:u w:val="none"/>
        </w:rPr>
        <w:t xml:space="preserve"> with the plaintiffs .... 30</w:t>
      </w:r>
    </w:p>
    <w:p>
      <w:pPr>
        <w:spacing w:after="60"/>
      </w:pPr>
      <w:r>
        <w:rPr>
          <w:b w:val="0"/>
          <w:i w:val="0"/>
          <w:smallCaps w:val="0"/>
          <w:strike w:val="0"/>
          <w:u w:val="none"/>
        </w:rPr>
        <w:t xml:space="preserve">In other words, </w:t>
      </w:r>
      <w:r>
        <w:rPr>
          <w:b w:val="0"/>
          <w:i w:val="0"/>
          <w:smallCaps w:val="0"/>
          <w:strike w:val="0"/>
          <w:sz w:val="22"/>
          <w:u w:val="single"/>
        </w:rPr>
        <w:t>the idea of property</w:t>
      </w:r>
      <w:r>
        <w:rPr>
          <w:b w:val="0"/>
          <w:i w:val="0"/>
          <w:smallCaps w:val="0"/>
          <w:strike w:val="0"/>
          <w:u w:val="none"/>
        </w:rPr>
        <w:t xml:space="preserve"> as used </w:t>
      </w:r>
      <w:r>
        <w:rPr>
          <w:b w:val="0"/>
          <w:i w:val="0"/>
          <w:smallCaps w:val="0"/>
          <w:strike w:val="0"/>
          <w:sz w:val="22"/>
          <w:u w:val="single"/>
        </w:rPr>
        <w:t>in the context of trade secrets is largely relational</w:t>
      </w:r>
      <w:r>
        <w:rPr>
          <w:b w:val="0"/>
          <w:i w:val="0"/>
          <w:smallCaps w:val="0"/>
          <w:strike w:val="0"/>
          <w:u w:val="none"/>
        </w:rPr>
        <w:t xml:space="preserve">. </w:t>
      </w:r>
      <w:r>
        <w:rPr>
          <w:b w:val="0"/>
          <w:i w:val="0"/>
          <w:smallCaps w:val="0"/>
          <w:strike w:val="0"/>
          <w:sz w:val="22"/>
          <w:u w:val="single"/>
        </w:rPr>
        <w:t>The right to exclude originates in</w:t>
      </w:r>
      <w:r>
        <w:rPr>
          <w:b w:val="0"/>
          <w:i w:val="0"/>
          <w:smallCaps w:val="0"/>
          <w:strike w:val="0"/>
          <w:u w:val="none"/>
        </w:rPr>
        <w:t xml:space="preserve"> a very </w:t>
      </w:r>
      <w:r>
        <w:rPr>
          <w:b w:val="0"/>
          <w:i w:val="0"/>
          <w:smallCaps w:val="0"/>
          <w:strike w:val="0"/>
          <w:sz w:val="22"/>
          <w:u w:val="single"/>
        </w:rPr>
        <w:t>specific</w:t>
      </w:r>
      <w:r>
        <w:rPr>
          <w:b w:val="0"/>
          <w:i w:val="0"/>
          <w:smallCaps w:val="0"/>
          <w:strike w:val="0"/>
          <w:u w:val="none"/>
        </w:rPr>
        <w:t xml:space="preserve"> set of </w:t>
      </w:r>
      <w:r>
        <w:rPr>
          <w:b w:val="0"/>
          <w:i w:val="0"/>
          <w:smallCaps w:val="0"/>
          <w:strike w:val="0"/>
          <w:sz w:val="22"/>
          <w:u w:val="single"/>
        </w:rPr>
        <w:t>circumstances</w:t>
      </w:r>
      <w:r>
        <w:rPr>
          <w:b w:val="0"/>
          <w:i w:val="0"/>
          <w:smallCaps w:val="0"/>
          <w:strike w:val="0"/>
          <w:u w:val="none"/>
        </w:rPr>
        <w:t xml:space="preserve">, and identifying these unique circumstances remains the law's principal concern. </w:t>
      </w:r>
      <w:r>
        <w:rPr>
          <w:b w:val="0"/>
          <w:i w:val="0"/>
          <w:smallCaps w:val="0"/>
          <w:strike w:val="0"/>
          <w:sz w:val="22"/>
          <w:u w:val="single"/>
        </w:rPr>
        <w:t>The same is true</w:t>
      </w:r>
      <w:r>
        <w:rPr>
          <w:b w:val="0"/>
          <w:i w:val="0"/>
          <w:smallCaps w:val="0"/>
          <w:strike w:val="0"/>
          <w:u w:val="none"/>
        </w:rPr>
        <w:t xml:space="preserve">, in various shades, </w:t>
      </w:r>
      <w:r>
        <w:rPr>
          <w:b w:val="0"/>
          <w:i w:val="0"/>
          <w:smallCaps w:val="0"/>
          <w:strike w:val="0"/>
          <w:sz w:val="22"/>
          <w:u w:val="single"/>
        </w:rPr>
        <w:t>of almost all forms of common law intellectual property</w:t>
      </w:r>
      <w:r>
        <w:rPr>
          <w:b w:val="0"/>
          <w:i w:val="0"/>
          <w:smallCaps w:val="0"/>
          <w:strike w:val="0"/>
          <w:u w:val="none"/>
        </w:rPr>
        <w:t xml:space="preserve">, often bringing into question their very classification as "property." The relational nature of these interests also reduces the social costs associated with exclusionary (that is, monopoly) control. </w:t>
      </w:r>
      <w:r>
        <w:rPr>
          <w:b/>
          <w:i w:val="0"/>
          <w:smallCaps w:val="0"/>
          <w:strike w:val="0"/>
          <w:sz w:val="22"/>
          <w:u w:val="single"/>
        </w:rPr>
        <w:t>Since exclusion operates</w:t>
      </w:r>
      <w:r>
        <w:rPr>
          <w:b w:val="0"/>
          <w:i w:val="0"/>
          <w:smallCaps w:val="0"/>
          <w:strike w:val="0"/>
          <w:u w:val="none"/>
        </w:rPr>
        <w:t xml:space="preserve"> only </w:t>
      </w:r>
      <w:r>
        <w:rPr>
          <w:b/>
          <w:i w:val="0"/>
          <w:smallCaps w:val="0"/>
          <w:strike w:val="0"/>
          <w:sz w:val="22"/>
          <w:u w:val="single"/>
        </w:rPr>
        <w:t>in</w:t>
      </w:r>
      <w:r>
        <w:rPr>
          <w:b w:val="0"/>
          <w:i w:val="0"/>
          <w:smallCaps w:val="0"/>
          <w:strike w:val="0"/>
          <w:sz w:val="22"/>
          <w:u w:val="single"/>
        </w:rPr>
        <w:t xml:space="preserve"> a very </w:t>
      </w:r>
      <w:r>
        <w:rPr>
          <w:b/>
          <w:i w:val="0"/>
          <w:smallCaps w:val="0"/>
          <w:strike w:val="0"/>
          <w:sz w:val="22"/>
          <w:u w:val="single"/>
        </w:rPr>
        <w:t>limited</w:t>
      </w:r>
      <w:r>
        <w:rPr>
          <w:b w:val="0"/>
          <w:i w:val="0"/>
          <w:smallCaps w:val="0"/>
          <w:strike w:val="0"/>
          <w:sz w:val="22"/>
          <w:u w:val="single"/>
        </w:rPr>
        <w:t xml:space="preserve"> set of </w:t>
      </w:r>
      <w:r>
        <w:rPr>
          <w:b/>
          <w:i w:val="0"/>
          <w:smallCaps w:val="0"/>
          <w:strike w:val="0"/>
          <w:sz w:val="22"/>
          <w:u w:val="single"/>
        </w:rPr>
        <w:t>circumstances</w:t>
      </w:r>
      <w:r>
        <w:rPr>
          <w:b w:val="0"/>
          <w:i w:val="0"/>
          <w:smallCaps w:val="0"/>
          <w:strike w:val="0"/>
          <w:u w:val="none"/>
        </w:rPr>
        <w:t xml:space="preserve">, </w:t>
      </w:r>
      <w:r>
        <w:rPr>
          <w:b w:val="0"/>
          <w:i w:val="0"/>
          <w:smallCaps w:val="0"/>
          <w:strike w:val="0"/>
          <w:sz w:val="22"/>
          <w:u w:val="single"/>
        </w:rPr>
        <w:t>these</w:t>
      </w:r>
      <w:r>
        <w:rPr>
          <w:b/>
          <w:i w:val="0"/>
          <w:smallCaps w:val="0"/>
          <w:strike w:val="0"/>
          <w:sz w:val="22"/>
          <w:u w:val="single"/>
        </w:rPr>
        <w:t xml:space="preserve"> regimes effectively minimize</w:t>
      </w:r>
      <w:r>
        <w:rPr>
          <w:b w:val="0"/>
          <w:i w:val="0"/>
          <w:smallCaps w:val="0"/>
          <w:strike w:val="0"/>
          <w:u w:val="none"/>
        </w:rPr>
        <w:t xml:space="preserve"> </w:t>
      </w:r>
      <w:r>
        <w:rPr>
          <w:b w:val="0"/>
          <w:i w:val="0"/>
          <w:smallCaps w:val="0"/>
          <w:strike w:val="0"/>
          <w:sz w:val="22"/>
          <w:u w:val="single"/>
        </w:rPr>
        <w:t>the</w:t>
      </w:r>
      <w:r>
        <w:rPr>
          <w:b w:val="0"/>
          <w:i w:val="0"/>
          <w:smallCaps w:val="0"/>
          <w:strike w:val="0"/>
          <w:u w:val="none"/>
        </w:rPr>
        <w:t xml:space="preserve"> </w:t>
      </w:r>
      <w:r>
        <w:rPr>
          <w:b/>
          <w:i w:val="0"/>
          <w:smallCaps w:val="0"/>
          <w:strike w:val="0"/>
          <w:sz w:val="22"/>
          <w:u w:val="single"/>
        </w:rPr>
        <w:t xml:space="preserve">static </w:t>
      </w:r>
      <w:r>
        <w:rPr>
          <w:b w:val="0"/>
          <w:i w:val="0"/>
          <w:smallCaps w:val="0"/>
          <w:strike w:val="0"/>
          <w:sz w:val="22"/>
          <w:u w:val="single"/>
        </w:rPr>
        <w:t>and</w:t>
      </w:r>
      <w:r>
        <w:rPr>
          <w:b/>
          <w:i w:val="0"/>
          <w:smallCaps w:val="0"/>
          <w:strike w:val="0"/>
          <w:sz w:val="22"/>
          <w:u w:val="single"/>
        </w:rPr>
        <w:t xml:space="preserve"> dynamic inefficiencies</w:t>
      </w:r>
      <w:r>
        <w:rPr>
          <w:b w:val="0"/>
          <w:i w:val="0"/>
          <w:smallCaps w:val="0"/>
          <w:strike w:val="0"/>
          <w:u w:val="none"/>
        </w:rPr>
        <w:t xml:space="preserve"> </w:t>
      </w:r>
      <w:r>
        <w:rPr>
          <w:b w:val="0"/>
          <w:i w:val="0"/>
          <w:smallCaps w:val="0"/>
          <w:strike w:val="0"/>
          <w:sz w:val="22"/>
          <w:u w:val="single"/>
        </w:rPr>
        <w:t>traditionally associated with property rights in nonrivalrous and nonexcludable resources.</w:t>
      </w:r>
      <w:r>
        <w:rPr>
          <w:b w:val="0"/>
          <w:i w:val="0"/>
          <w:smallCaps w:val="0"/>
          <w:strike w:val="0"/>
          <w:u w:val="none"/>
        </w:rPr>
        <w:t xml:space="preserve"> 31</w:t>
      </w:r>
    </w:p>
    <w:p>
      <w:pPr>
        <w:pStyle w:val="Caption"/>
      </w:pPr>
      <w:r>
        <w:t>Source: Courts CP - Michigan 7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