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Supreme Court is able to govern copyright and trademark law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 xml:space="preserve">Jones </w:t>
      </w:r>
      <w:r>
        <w:rPr>
          <w:b/>
          <w:i w:val="0"/>
          <w:smallCaps w:val="0"/>
          <w:strike w:val="0"/>
          <w:u w:val="none"/>
        </w:rPr>
        <w:t>D</w:t>
      </w:r>
      <w:r>
        <w:rPr>
          <w:b/>
          <w:i w:val="0"/>
          <w:smallCaps w:val="0"/>
          <w:strike w:val="0"/>
          <w:u w:val="none"/>
        </w:rPr>
        <w:t>ay,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u w:val="none"/>
        </w:rPr>
        <w:t xml:space="preserve">14 </w:t>
      </w:r>
      <w:r>
        <w:rPr>
          <w:b w:val="0"/>
          <w:i w:val="0"/>
          <w:smallCaps w:val="0"/>
          <w:strike w:val="0"/>
          <w:u w:val="none"/>
        </w:rPr>
        <w:t xml:space="preserve">– Multinational law firm; </w:t>
      </w:r>
      <w:r>
        <w:rPr>
          <w:b w:val="0"/>
          <w:i w:val="0"/>
          <w:smallCaps w:val="0"/>
          <w:strike w:val="0"/>
          <w:u w:val="none"/>
        </w:rPr>
        <w:t>"Ten Supreme Court Opinions Reshaping Intellectual Property"</w:t>
      </w:r>
      <w:r>
        <w:rPr>
          <w:b w:val="0"/>
          <w:i w:val="0"/>
          <w:smallCaps w:val="0"/>
          <w:strike w:val="0"/>
          <w:u w:val="none"/>
        </w:rPr>
        <w:t>;</w:t>
      </w:r>
      <w:r>
        <w:rPr>
          <w:b w:val="0"/>
          <w:i w:val="0"/>
          <w:smallCaps w:val="0"/>
          <w:strike w:val="0"/>
          <w:u w:val="none"/>
        </w:rPr>
        <w:t xml:space="preserve"> https://www.jonesday.com/en/insights/2014/08/ten-new-supreme-court-opinions-reshaping-the-intellectual-property-landscape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 xml:space="preserve">The Supreme Court was also </w:t>
      </w:r>
      <w:r>
        <w:rPr>
          <w:b/>
          <w:i w:val="0"/>
          <w:smallCaps w:val="0"/>
          <w:strike w:val="0"/>
          <w:highlight w:val="cyan"/>
          <w:u w:val="single"/>
        </w:rPr>
        <w:t>unusually active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in the area of copyrights this past Term.</w:t>
      </w:r>
      <w:r>
        <w:rPr>
          <w:b w:val="0"/>
          <w:i w:val="0"/>
          <w:smallCaps w:val="0"/>
          <w:strike w:val="0"/>
          <w:u w:val="single"/>
        </w:rPr>
        <w:t xml:space="preserve"> In the widely publicized American Broadcasting Companies v. Aereo case, the Court held that Aereo's unusual antenna-based television subscription service violated the Copyright Act's Transmit Clause. And in Petrella v. MGM,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case alleging that the 1980 movie Raging Bull copied the plaintiff's 1969 screenplay, </w:t>
      </w:r>
      <w:r>
        <w:rPr>
          <w:b w:val="0"/>
          <w:i w:val="0"/>
          <w:smallCaps w:val="0"/>
          <w:strike w:val="0"/>
          <w:highlight w:val="cyan"/>
          <w:u w:val="single"/>
        </w:rPr>
        <w:t>the Court concluded that the equitable doctrine of laches cannot be used to bar a claim for copyright infringement damages that is brought within the three-year limitations period of Section 507(b) of the Copyright Act.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Finally,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 Court also decided </w:t>
      </w:r>
      <w:r>
        <w:rPr>
          <w:b/>
          <w:i w:val="0"/>
          <w:smallCaps w:val="0"/>
          <w:strike w:val="0"/>
          <w:highlight w:val="cyan"/>
          <w:u w:val="single"/>
        </w:rPr>
        <w:t>two important Lanham Act cases in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its recent Term.</w:t>
      </w:r>
      <w:r>
        <w:rPr>
          <w:b w:val="0"/>
          <w:i w:val="0"/>
          <w:smallCaps w:val="0"/>
          <w:strike w:val="0"/>
          <w:u w:val="single"/>
        </w:rPr>
        <w:t xml:space="preserve"> In Lexmark International v. Static Control Components, the Court held that Static Control had adequately pleaded the requirements of a Lanham Act false-advertising claim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by alleging an injury to a commercial interest in sales or business reputation proximately caused by the defendant's misrepresentation. </w:t>
      </w:r>
      <w:r>
        <w:rPr>
          <w:b w:val="0"/>
          <w:i w:val="0"/>
          <w:smallCaps w:val="0"/>
          <w:strike w:val="0"/>
          <w:u w:val="single"/>
        </w:rPr>
        <w:t xml:space="preserve">And in POM Wonderful v. Coca-Cola, </w:t>
      </w:r>
      <w:r>
        <w:rPr>
          <w:b w:val="0"/>
          <w:i w:val="0"/>
          <w:smallCaps w:val="0"/>
          <w:strike w:val="0"/>
          <w:highlight w:val="cyan"/>
          <w:u w:val="single"/>
        </w:rPr>
        <w:t>the Court ruled that a competitor was entitled to sue under the Lanham Act for unfair competition by alleging false or misleading descriptions on product labeling, even where the labeling is regulated by the FDA.[2]</w:t>
      </w:r>
    </w:p>
    <w:p>
      <w:pPr>
        <w:pStyle w:val="Caption"/>
      </w:pPr>
      <w:r>
        <w:t>Source: Courts CP - Michigan 7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