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Courts have always played an </w:t>
      </w:r>
      <w:r>
        <w:rPr>
          <w:b/>
          <w:i w:val="0"/>
          <w:smallCaps w:val="0"/>
          <w:strike w:val="0"/>
          <w:sz w:val="26"/>
          <w:u w:val="single"/>
        </w:rPr>
        <w:t>active role</w:t>
      </w:r>
      <w:r>
        <w:rPr>
          <w:b/>
          <w:i w:val="0"/>
          <w:smallCaps w:val="0"/>
          <w:strike w:val="0"/>
          <w:sz w:val="26"/>
          <w:u w:val="none"/>
        </w:rPr>
        <w:t xml:space="preserve"> in determining IPR Law---they provide </w:t>
      </w:r>
      <w:r>
        <w:rPr>
          <w:b/>
          <w:i w:val="0"/>
          <w:smallCaps w:val="0"/>
          <w:strike w:val="0"/>
          <w:sz w:val="26"/>
          <w:u w:val="single"/>
        </w:rPr>
        <w:t>quick</w:t>
      </w:r>
      <w:r>
        <w:rPr>
          <w:b/>
          <w:i w:val="0"/>
          <w:smallCaps w:val="0"/>
          <w:strike w:val="0"/>
          <w:sz w:val="26"/>
          <w:u w:val="none"/>
        </w:rPr>
        <w:t xml:space="preserve"> and </w:t>
      </w:r>
      <w:r>
        <w:rPr>
          <w:b/>
          <w:i w:val="0"/>
          <w:smallCaps w:val="0"/>
          <w:strike w:val="0"/>
          <w:sz w:val="26"/>
          <w:u w:val="single"/>
        </w:rPr>
        <w:t>insulated</w:t>
      </w:r>
      <w:r>
        <w:rPr>
          <w:b/>
          <w:i w:val="0"/>
          <w:smallCaps w:val="0"/>
          <w:strike w:val="0"/>
          <w:sz w:val="26"/>
          <w:u w:val="none"/>
        </w:rPr>
        <w:t xml:space="preserve"> interpretations.</w:t>
      </w:r>
    </w:p>
    <w:p>
      <w:pPr>
        <w:spacing w:after="80"/>
      </w:pPr>
      <w:r>
        <w:rPr>
          <w:b w:val="0"/>
          <w:i w:val="0"/>
          <w:smallCaps w:val="0"/>
          <w:strike w:val="0"/>
          <w:u w:val="none"/>
        </w:rPr>
        <w:t xml:space="preserve">Nari </w:t>
      </w:r>
      <w:r>
        <w:rPr>
          <w:b/>
          <w:i w:val="0"/>
          <w:smallCaps w:val="0"/>
          <w:strike w:val="0"/>
          <w:sz w:val="26"/>
          <w:u w:val="none"/>
        </w:rPr>
        <w:t>Lee and</w:t>
      </w:r>
      <w:r>
        <w:rPr>
          <w:b w:val="0"/>
          <w:i w:val="0"/>
          <w:smallCaps w:val="0"/>
          <w:strike w:val="0"/>
          <w:u w:val="none"/>
        </w:rPr>
        <w:t xml:space="preserve"> Liguo </w:t>
      </w:r>
      <w:r>
        <w:rPr>
          <w:b/>
          <w:i w:val="0"/>
          <w:smallCaps w:val="0"/>
          <w:strike w:val="0"/>
          <w:sz w:val="26"/>
          <w:u w:val="none"/>
        </w:rPr>
        <w:t>Zhang 17</w:t>
      </w:r>
      <w:r>
        <w:rPr>
          <w:b w:val="0"/>
          <w:i w:val="0"/>
          <w:smallCaps w:val="0"/>
          <w:strike w:val="0"/>
          <w:u w:val="none"/>
        </w:rPr>
        <w:t xml:space="preserve">. Professor of Intellectual Property Law, Dept of Accounting and Commercial Law, Hanken School of Economics and Postdoctoral researcher, Doctor of Laws, University of Helsinki, Faculty of Law. “Specialized IP Courts in China - Judicial Governance of Intellectual Property Rights.” </w:t>
      </w:r>
      <w:r>
        <w:rPr>
          <w:b w:val="0"/>
          <w:i/>
          <w:smallCaps w:val="0"/>
          <w:strike w:val="0"/>
          <w:u w:val="none"/>
        </w:rPr>
        <w:t>IIC - International Review of Intellectual Property and Competition Law</w:t>
      </w:r>
      <w:r>
        <w:rPr>
          <w:b w:val="0"/>
          <w:i w:val="0"/>
          <w:smallCaps w:val="0"/>
          <w:strike w:val="0"/>
          <w:u w:val="none"/>
        </w:rPr>
        <w:t xml:space="preserve">. 11-06-2017. https://helda.helsinki.fi/server/api/core/bitstreams/ceed412b-101e-437b-8938-3f0a52d6bd73/content //rr </w:t>
      </w:r>
    </w:p>
    <w:p>
      <w:pPr>
        <w:spacing w:after="60"/>
      </w:pPr>
      <w:r>
        <w:rPr>
          <w:b w:val="0"/>
          <w:i w:val="0"/>
          <w:smallCaps w:val="0"/>
          <w:strike w:val="0"/>
          <w:sz w:val="16"/>
          <w:u w:val="none"/>
        </w:rPr>
        <w:t xml:space="preserve">When institutions are compared, </w:t>
      </w:r>
      <w:r>
        <w:rPr>
          <w:b/>
          <w:i w:val="0"/>
          <w:smallCaps w:val="0"/>
          <w:strike w:val="0"/>
          <w:sz w:val="22"/>
          <w:highlight w:val="cyan"/>
          <w:u w:val="single"/>
        </w:rPr>
        <w:t>judicial decision making</w:t>
      </w:r>
      <w:r>
        <w:rPr>
          <w:b w:val="0"/>
          <w:i w:val="0"/>
          <w:smallCaps w:val="0"/>
          <w:strike w:val="0"/>
          <w:sz w:val="22"/>
          <w:highlight w:val="cyan"/>
          <w:u w:val="single"/>
        </w:rPr>
        <w:t xml:space="preserve"> seems </w:t>
      </w:r>
      <w:r>
        <w:rPr>
          <w:b/>
          <w:i w:val="0"/>
          <w:smallCaps w:val="0"/>
          <w:strike w:val="0"/>
          <w:sz w:val="22"/>
          <w:highlight w:val="cyan"/>
          <w:u w:val="single"/>
        </w:rPr>
        <w:t>neutral</w:t>
      </w:r>
      <w:r>
        <w:rPr>
          <w:b w:val="0"/>
          <w:i w:val="0"/>
          <w:smallCaps w:val="0"/>
          <w:strike w:val="0"/>
          <w:sz w:val="22"/>
          <w:highlight w:val="cyan"/>
          <w:u w:val="single"/>
        </w:rPr>
        <w:t xml:space="preserve">, </w:t>
      </w:r>
      <w:r>
        <w:rPr>
          <w:b/>
          <w:i w:val="0"/>
          <w:smallCaps w:val="0"/>
          <w:strike w:val="0"/>
          <w:sz w:val="22"/>
          <w:highlight w:val="cyan"/>
          <w:u w:val="single"/>
        </w:rPr>
        <w:t>less prone to</w:t>
      </w:r>
      <w:r>
        <w:rPr>
          <w:b w:val="0"/>
          <w:i w:val="0"/>
          <w:smallCaps w:val="0"/>
          <w:strike w:val="0"/>
          <w:sz w:val="22"/>
          <w:highlight w:val="cyan"/>
          <w:u w:val="single"/>
        </w:rPr>
        <w:t xml:space="preserve"> </w:t>
      </w:r>
      <w:r>
        <w:rPr>
          <w:b w:val="0"/>
          <w:i w:val="0"/>
          <w:smallCaps w:val="0"/>
          <w:strike w:val="0"/>
          <w:sz w:val="22"/>
          <w:u w:val="single"/>
        </w:rPr>
        <w:t xml:space="preserve">the </w:t>
      </w:r>
      <w:r>
        <w:rPr>
          <w:b/>
          <w:i w:val="0"/>
          <w:smallCaps w:val="0"/>
          <w:strike w:val="0"/>
          <w:sz w:val="22"/>
          <w:highlight w:val="cyan"/>
          <w:u w:val="single"/>
        </w:rPr>
        <w:t>bias</w:t>
      </w:r>
      <w:r>
        <w:rPr>
          <w:b w:val="0"/>
          <w:i w:val="0"/>
          <w:smallCaps w:val="0"/>
          <w:strike w:val="0"/>
          <w:sz w:val="22"/>
          <w:u w:val="single"/>
        </w:rPr>
        <w:t xml:space="preserve">es </w:t>
      </w:r>
      <w:r>
        <w:rPr>
          <w:b/>
          <w:i w:val="0"/>
          <w:smallCaps w:val="0"/>
          <w:strike w:val="0"/>
          <w:sz w:val="22"/>
          <w:highlight w:val="cyan"/>
          <w:u w:val="single"/>
        </w:rPr>
        <w:t>and</w:t>
      </w:r>
      <w:r>
        <w:rPr>
          <w:b w:val="0"/>
          <w:i w:val="0"/>
          <w:smallCaps w:val="0"/>
          <w:strike w:val="0"/>
          <w:sz w:val="22"/>
          <w:highlight w:val="cyan"/>
          <w:u w:val="single"/>
        </w:rPr>
        <w:t xml:space="preserve"> </w:t>
      </w:r>
      <w:r>
        <w:rPr>
          <w:b w:val="0"/>
          <w:i w:val="0"/>
          <w:smallCaps w:val="0"/>
          <w:strike w:val="0"/>
          <w:sz w:val="22"/>
          <w:u w:val="single"/>
        </w:rPr>
        <w:t xml:space="preserve">capture of </w:t>
      </w:r>
      <w:r>
        <w:rPr>
          <w:b/>
          <w:i w:val="0"/>
          <w:smallCaps w:val="0"/>
          <w:strike w:val="0"/>
          <w:sz w:val="22"/>
          <w:highlight w:val="cyan"/>
          <w:u w:val="single"/>
        </w:rPr>
        <w:t>the political processes of the legislation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administration, and representative of the </w:t>
      </w:r>
      <w:r>
        <w:rPr>
          <w:b/>
          <w:i w:val="0"/>
          <w:smallCaps w:val="0"/>
          <w:strike w:val="0"/>
          <w:sz w:val="22"/>
          <w:highlight w:val="cyan"/>
          <w:u w:val="single"/>
        </w:rPr>
        <w:t>rule of law</w:t>
      </w:r>
      <w:r>
        <w:rPr>
          <w:b w:val="0"/>
          <w:i w:val="0"/>
          <w:smallCaps w:val="0"/>
          <w:strike w:val="0"/>
          <w:sz w:val="22"/>
          <w:u w:val="single"/>
        </w:rPr>
        <w:t>.</w:t>
      </w:r>
      <w:r>
        <w:rPr>
          <w:b w:val="0"/>
          <w:i w:val="0"/>
          <w:smallCaps w:val="0"/>
          <w:strike w:val="0"/>
          <w:sz w:val="16"/>
          <w:u w:val="none"/>
        </w:rPr>
        <w:t xml:space="preserve"> At the same time, </w:t>
      </w:r>
      <w:r>
        <w:rPr>
          <w:b w:val="0"/>
          <w:i w:val="0"/>
          <w:smallCaps w:val="0"/>
          <w:strike w:val="0"/>
          <w:sz w:val="22"/>
          <w:highlight w:val="cyan"/>
          <w:u w:val="single"/>
        </w:rPr>
        <w:t xml:space="preserve">courts </w:t>
      </w:r>
      <w:r>
        <w:rPr>
          <w:b w:val="0"/>
          <w:i w:val="0"/>
          <w:smallCaps w:val="0"/>
          <w:strike w:val="0"/>
          <w:sz w:val="22"/>
          <w:u w:val="single"/>
        </w:rPr>
        <w:t>are</w:t>
      </w:r>
      <w:r>
        <w:rPr>
          <w:b w:val="0"/>
          <w:i w:val="0"/>
          <w:smallCaps w:val="0"/>
          <w:strike w:val="0"/>
          <w:sz w:val="22"/>
          <w:highlight w:val="cyan"/>
          <w:u w:val="single"/>
        </w:rPr>
        <w:t xml:space="preserve"> often </w:t>
      </w:r>
      <w:r>
        <w:rPr>
          <w:b w:val="0"/>
          <w:i w:val="0"/>
          <w:smallCaps w:val="0"/>
          <w:strike w:val="0"/>
          <w:sz w:val="22"/>
          <w:u w:val="single"/>
        </w:rPr>
        <w:t xml:space="preserve">requested to </w:t>
      </w:r>
      <w:r>
        <w:rPr>
          <w:b/>
          <w:i w:val="0"/>
          <w:smallCaps w:val="0"/>
          <w:strike w:val="0"/>
          <w:sz w:val="22"/>
          <w:highlight w:val="cyan"/>
          <w:u w:val="single"/>
        </w:rPr>
        <w:t>make or interpret</w:t>
      </w:r>
      <w:r>
        <w:rPr>
          <w:b w:val="0"/>
          <w:i w:val="0"/>
          <w:smallCaps w:val="0"/>
          <w:strike w:val="0"/>
          <w:sz w:val="22"/>
          <w:highlight w:val="cyan"/>
          <w:u w:val="single"/>
        </w:rPr>
        <w:t xml:space="preserve"> </w:t>
      </w:r>
      <w:r>
        <w:rPr>
          <w:b w:val="0"/>
          <w:i w:val="0"/>
          <w:smallCaps w:val="0"/>
          <w:strike w:val="0"/>
          <w:sz w:val="22"/>
          <w:u w:val="single"/>
        </w:rPr>
        <w:t>the</w:t>
      </w:r>
      <w:r>
        <w:rPr>
          <w:b w:val="0"/>
          <w:i w:val="0"/>
          <w:smallCaps w:val="0"/>
          <w:strike w:val="0"/>
          <w:sz w:val="22"/>
          <w:highlight w:val="cyan"/>
          <w:u w:val="single"/>
        </w:rPr>
        <w:t xml:space="preserve"> law </w:t>
      </w:r>
      <w:r>
        <w:rPr>
          <w:b w:val="0"/>
          <w:i w:val="0"/>
          <w:smallCaps w:val="0"/>
          <w:strike w:val="0"/>
          <w:sz w:val="22"/>
          <w:u w:val="single"/>
        </w:rPr>
        <w:t>using the facts of the disputes at hand</w:t>
      </w:r>
      <w:r>
        <w:rPr>
          <w:b w:val="0"/>
          <w:i w:val="0"/>
          <w:smallCaps w:val="0"/>
          <w:strike w:val="0"/>
          <w:sz w:val="16"/>
          <w:u w:val="none"/>
        </w:rPr>
        <w:t xml:space="preserve">. As a result, </w:t>
      </w:r>
      <w:r>
        <w:rPr>
          <w:b w:val="0"/>
          <w:i w:val="0"/>
          <w:smallCaps w:val="0"/>
          <w:strike w:val="0"/>
          <w:sz w:val="22"/>
          <w:u w:val="single"/>
        </w:rPr>
        <w:t xml:space="preserve">they are </w:t>
      </w:r>
      <w:r>
        <w:rPr>
          <w:b w:val="0"/>
          <w:i w:val="0"/>
          <w:smallCaps w:val="0"/>
          <w:strike w:val="0"/>
          <w:sz w:val="22"/>
          <w:highlight w:val="cyan"/>
          <w:u w:val="single"/>
        </w:rPr>
        <w:t xml:space="preserve">likely to respond </w:t>
      </w:r>
      <w:r>
        <w:rPr>
          <w:b w:val="0"/>
          <w:i w:val="0"/>
          <w:smallCaps w:val="0"/>
          <w:strike w:val="0"/>
          <w:sz w:val="22"/>
          <w:u w:val="single"/>
        </w:rPr>
        <w:t xml:space="preserve">to the technological facts </w:t>
      </w:r>
      <w:r>
        <w:rPr>
          <w:b/>
          <w:i w:val="0"/>
          <w:smallCaps w:val="0"/>
          <w:strike w:val="0"/>
          <w:sz w:val="22"/>
          <w:highlight w:val="cyan"/>
          <w:u w:val="single"/>
        </w:rPr>
        <w:t>more quickly</w:t>
      </w:r>
      <w:r>
        <w:rPr>
          <w:b w:val="0"/>
          <w:i w:val="0"/>
          <w:smallCaps w:val="0"/>
          <w:strike w:val="0"/>
          <w:sz w:val="22"/>
          <w:highlight w:val="cyan"/>
          <w:u w:val="single"/>
        </w:rPr>
        <w:t xml:space="preserve"> than </w:t>
      </w:r>
      <w:r>
        <w:rPr>
          <w:b w:val="0"/>
          <w:i w:val="0"/>
          <w:smallCaps w:val="0"/>
          <w:strike w:val="0"/>
          <w:sz w:val="22"/>
          <w:u w:val="single"/>
        </w:rPr>
        <w:t>the</w:t>
      </w:r>
      <w:r>
        <w:rPr>
          <w:b w:val="0"/>
          <w:i w:val="0"/>
          <w:smallCaps w:val="0"/>
          <w:strike w:val="0"/>
          <w:sz w:val="22"/>
          <w:highlight w:val="cyan"/>
          <w:u w:val="single"/>
        </w:rPr>
        <w:t xml:space="preserve"> legislative</w:t>
      </w:r>
      <w:r>
        <w:rPr>
          <w:b w:val="0"/>
          <w:i w:val="0"/>
          <w:smallCaps w:val="0"/>
          <w:strike w:val="0"/>
          <w:sz w:val="22"/>
          <w:u w:val="single"/>
        </w:rPr>
        <w:t>. In comparison to the opportunism of the self-interested actors</w:t>
      </w:r>
      <w:r>
        <w:rPr>
          <w:b w:val="0"/>
          <w:i w:val="0"/>
          <w:smallCaps w:val="0"/>
          <w:strike w:val="0"/>
          <w:sz w:val="16"/>
          <w:u w:val="none"/>
        </w:rPr>
        <w:t xml:space="preserve">, and the contestability of the market, </w:t>
      </w:r>
      <w:r>
        <w:rPr>
          <w:b w:val="0"/>
          <w:i w:val="0"/>
          <w:smallCaps w:val="0"/>
          <w:strike w:val="0"/>
          <w:sz w:val="22"/>
          <w:u w:val="single"/>
        </w:rPr>
        <w:t xml:space="preserve">courts seem to provide neutrality and impartiality. Courts, when insulated from undue outside interferences, </w:t>
      </w:r>
      <w:r>
        <w:rPr>
          <w:b w:val="0"/>
          <w:i w:val="0"/>
          <w:smallCaps w:val="0"/>
          <w:strike w:val="0"/>
          <w:sz w:val="22"/>
          <w:highlight w:val="cyan"/>
          <w:u w:val="single"/>
        </w:rPr>
        <w:t xml:space="preserve">are </w:t>
      </w:r>
      <w:r>
        <w:rPr>
          <w:b/>
          <w:i w:val="0"/>
          <w:smallCaps w:val="0"/>
          <w:strike w:val="0"/>
          <w:sz w:val="22"/>
          <w:highlight w:val="cyan"/>
          <w:u w:val="single"/>
        </w:rPr>
        <w:t xml:space="preserve">independent </w:t>
      </w:r>
      <w:r>
        <w:rPr>
          <w:b w:val="0"/>
          <w:i w:val="0"/>
          <w:smallCaps w:val="0"/>
          <w:strike w:val="0"/>
          <w:sz w:val="22"/>
          <w:highlight w:val="cyan"/>
          <w:u w:val="single"/>
        </w:rPr>
        <w:t xml:space="preserve">from biases </w:t>
      </w:r>
      <w:r>
        <w:rPr>
          <w:b w:val="0"/>
          <w:i w:val="0"/>
          <w:smallCaps w:val="0"/>
          <w:strike w:val="0"/>
          <w:sz w:val="22"/>
          <w:u w:val="single"/>
        </w:rPr>
        <w:t>to which p</w:t>
      </w:r>
      <w:r>
        <w:rPr>
          <w:b w:val="0"/>
          <w:i w:val="0"/>
          <w:smallCaps w:val="0"/>
          <w:strike w:val="0"/>
          <w:sz w:val="22"/>
          <w:highlight w:val="cyan"/>
          <w:u w:val="single"/>
        </w:rPr>
        <w:t xml:space="preserve">olitical processes </w:t>
      </w:r>
      <w:r>
        <w:rPr>
          <w:b w:val="0"/>
          <w:i w:val="0"/>
          <w:smallCaps w:val="0"/>
          <w:strike w:val="0"/>
          <w:sz w:val="22"/>
          <w:u w:val="single"/>
        </w:rPr>
        <w:t>are often subject</w:t>
      </w:r>
      <w:r>
        <w:rPr>
          <w:b w:val="0"/>
          <w:i w:val="0"/>
          <w:smallCaps w:val="0"/>
          <w:strike w:val="0"/>
          <w:sz w:val="16"/>
          <w:u w:val="none"/>
        </w:rPr>
        <w:t xml:space="preserve">. </w:t>
      </w:r>
      <w:r>
        <w:rPr>
          <w:b w:val="0"/>
          <w:i w:val="0"/>
          <w:smallCaps w:val="0"/>
          <w:strike w:val="0"/>
          <w:sz w:val="22"/>
          <w:u w:val="single"/>
        </w:rPr>
        <w:t xml:space="preserve">Independent courts thus </w:t>
      </w:r>
      <w:r>
        <w:rPr>
          <w:b w:val="0"/>
          <w:i w:val="0"/>
          <w:smallCaps w:val="0"/>
          <w:strike w:val="0"/>
          <w:sz w:val="22"/>
          <w:highlight w:val="cyan"/>
          <w:u w:val="single"/>
        </w:rPr>
        <w:t xml:space="preserve">play a </w:t>
      </w:r>
      <w:r>
        <w:rPr>
          <w:b/>
          <w:i w:val="0"/>
          <w:smallCaps w:val="0"/>
          <w:strike w:val="0"/>
          <w:sz w:val="22"/>
          <w:highlight w:val="cyan"/>
          <w:u w:val="single"/>
        </w:rPr>
        <w:t>central role</w:t>
      </w:r>
      <w:r>
        <w:rPr>
          <w:b w:val="0"/>
          <w:i w:val="0"/>
          <w:smallCaps w:val="0"/>
          <w:strike w:val="0"/>
          <w:sz w:val="22"/>
          <w:highlight w:val="cyan"/>
          <w:u w:val="single"/>
        </w:rPr>
        <w:t xml:space="preserve"> in </w:t>
      </w:r>
      <w:r>
        <w:rPr>
          <w:b w:val="0"/>
          <w:i w:val="0"/>
          <w:smallCaps w:val="0"/>
          <w:strike w:val="0"/>
          <w:sz w:val="22"/>
          <w:u w:val="single"/>
        </w:rPr>
        <w:t xml:space="preserve">the classic understanding of the </w:t>
      </w:r>
      <w:r>
        <w:rPr>
          <w:b w:val="0"/>
          <w:i w:val="0"/>
          <w:smallCaps w:val="0"/>
          <w:strike w:val="0"/>
          <w:sz w:val="22"/>
          <w:highlight w:val="cyan"/>
          <w:u w:val="single"/>
        </w:rPr>
        <w:t>rule of law</w:t>
      </w:r>
      <w:r>
        <w:rPr>
          <w:b w:val="0"/>
          <w:i w:val="0"/>
          <w:smallCaps w:val="0"/>
          <w:strike w:val="0"/>
          <w:sz w:val="16"/>
          <w:u w:val="none"/>
        </w:rPr>
        <w:t xml:space="preserve">. It is often claimed that courts </w:t>
      </w:r>
      <w:r>
        <w:rPr>
          <w:b w:val="0"/>
          <w:i w:val="0"/>
          <w:smallCaps w:val="0"/>
          <w:strike w:val="0"/>
          <w:sz w:val="22"/>
          <w:u w:val="single"/>
        </w:rPr>
        <w:t xml:space="preserve">will either </w:t>
      </w:r>
      <w:r>
        <w:rPr>
          <w:b w:val="0"/>
          <w:i w:val="0"/>
          <w:smallCaps w:val="0"/>
          <w:strike w:val="0"/>
          <w:sz w:val="22"/>
          <w:highlight w:val="cyan"/>
          <w:u w:val="single"/>
        </w:rPr>
        <w:t>apply clear</w:t>
      </w:r>
      <w:r>
        <w:rPr>
          <w:b w:val="0"/>
          <w:i w:val="0"/>
          <w:smallCaps w:val="0"/>
          <w:strike w:val="0"/>
          <w:sz w:val="22"/>
          <w:u w:val="single"/>
        </w:rPr>
        <w:t xml:space="preserve"> and well-articulated </w:t>
      </w:r>
      <w:r>
        <w:rPr>
          <w:b w:val="0"/>
          <w:i w:val="0"/>
          <w:smallCaps w:val="0"/>
          <w:strike w:val="0"/>
          <w:sz w:val="22"/>
          <w:highlight w:val="cyan"/>
          <w:u w:val="single"/>
        </w:rPr>
        <w:t>rules</w:t>
      </w:r>
      <w:r>
        <w:rPr>
          <w:b w:val="0"/>
          <w:i w:val="0"/>
          <w:smallCaps w:val="0"/>
          <w:strike w:val="0"/>
          <w:sz w:val="22"/>
          <w:u w:val="single"/>
        </w:rPr>
        <w:t xml:space="preserve"> or standards, </w:t>
      </w:r>
      <w:r>
        <w:rPr>
          <w:b w:val="0"/>
          <w:i w:val="0"/>
          <w:smallCaps w:val="0"/>
          <w:strike w:val="0"/>
          <w:sz w:val="22"/>
          <w:highlight w:val="cyan"/>
          <w:u w:val="single"/>
        </w:rPr>
        <w:t>provide</w:t>
      </w:r>
      <w:r>
        <w:rPr>
          <w:b w:val="0"/>
          <w:i w:val="0"/>
          <w:smallCaps w:val="0"/>
          <w:strike w:val="0"/>
          <w:sz w:val="22"/>
          <w:u w:val="single"/>
        </w:rPr>
        <w:t xml:space="preserve"> authoritative </w:t>
      </w:r>
      <w:r>
        <w:rPr>
          <w:b w:val="0"/>
          <w:i w:val="0"/>
          <w:smallCaps w:val="0"/>
          <w:strike w:val="0"/>
          <w:sz w:val="22"/>
          <w:highlight w:val="cyan"/>
          <w:u w:val="single"/>
        </w:rPr>
        <w:t xml:space="preserve">interpretations, or make law </w:t>
      </w:r>
      <w:r>
        <w:rPr>
          <w:b w:val="0"/>
          <w:i w:val="0"/>
          <w:smallCaps w:val="0"/>
          <w:strike w:val="0"/>
          <w:sz w:val="22"/>
          <w:u w:val="single"/>
        </w:rPr>
        <w:t>to fill the gaps in the law</w:t>
      </w:r>
      <w:r>
        <w:rPr>
          <w:b w:val="0"/>
          <w:i w:val="0"/>
          <w:smallCaps w:val="0"/>
          <w:strike w:val="0"/>
          <w:sz w:val="16"/>
          <w:u w:val="none"/>
        </w:rPr>
        <w:t xml:space="preserve">. While, formally, courts in civil law countries do not make law, </w:t>
      </w:r>
      <w:r>
        <w:rPr>
          <w:b w:val="0"/>
          <w:i w:val="0"/>
          <w:smallCaps w:val="0"/>
          <w:strike w:val="0"/>
          <w:sz w:val="22"/>
          <w:u w:val="single"/>
        </w:rPr>
        <w:t xml:space="preserve">courts and </w:t>
      </w:r>
      <w:r>
        <w:rPr>
          <w:b/>
          <w:i w:val="0"/>
          <w:smallCaps w:val="0"/>
          <w:strike w:val="0"/>
          <w:sz w:val="22"/>
          <w:highlight w:val="cyan"/>
          <w:u w:val="single"/>
        </w:rPr>
        <w:t>judicially-crafted norms</w:t>
      </w:r>
      <w:r>
        <w:rPr>
          <w:b w:val="0"/>
          <w:i w:val="0"/>
          <w:smallCaps w:val="0"/>
          <w:strike w:val="0"/>
          <w:sz w:val="22"/>
          <w:highlight w:val="cyan"/>
          <w:u w:val="single"/>
        </w:rPr>
        <w:t xml:space="preserve"> form an important part of </w:t>
      </w:r>
      <w:r>
        <w:rPr>
          <w:b w:val="0"/>
          <w:i w:val="0"/>
          <w:smallCaps w:val="0"/>
          <w:strike w:val="0"/>
          <w:sz w:val="22"/>
          <w:u w:val="single"/>
        </w:rPr>
        <w:t xml:space="preserve">the evolution </w:t>
      </w:r>
      <w:r>
        <w:rPr>
          <w:b w:val="0"/>
          <w:i w:val="0"/>
          <w:smallCaps w:val="0"/>
          <w:strike w:val="0"/>
          <w:sz w:val="22"/>
          <w:highlight w:val="cyan"/>
          <w:u w:val="single"/>
        </w:rPr>
        <w:t>of IP law</w:t>
      </w:r>
      <w:r>
        <w:rPr>
          <w:b w:val="0"/>
          <w:i w:val="0"/>
          <w:smallCaps w:val="0"/>
          <w:strike w:val="0"/>
          <w:sz w:val="16"/>
          <w:u w:val="none"/>
        </w:rPr>
        <w:t xml:space="preserve">. Although statutory definition and grants of rights are important sources of authorities, </w:t>
      </w:r>
      <w:r>
        <w:rPr>
          <w:b w:val="0"/>
          <w:i w:val="0"/>
          <w:smallCaps w:val="0"/>
          <w:strike w:val="0"/>
          <w:sz w:val="22"/>
          <w:u w:val="single"/>
        </w:rPr>
        <w:t>doctrines created by courts have dominated IP law</w:t>
      </w:r>
      <w:r>
        <w:rPr>
          <w:b w:val="0"/>
          <w:i w:val="0"/>
          <w:smallCaps w:val="0"/>
          <w:strike w:val="0"/>
          <w:sz w:val="16"/>
          <w:u w:val="none"/>
        </w:rPr>
        <w:t xml:space="preserve">. IP law tends to include open clauses and technologically-neutral statutory expression. Such </w:t>
      </w:r>
      <w:r>
        <w:rPr>
          <w:b w:val="0"/>
          <w:i w:val="0"/>
          <w:smallCaps w:val="0"/>
          <w:strike w:val="0"/>
          <w:sz w:val="22"/>
          <w:u w:val="single"/>
        </w:rPr>
        <w:t>generality of regulation is demanded by the nature of IP law</w:t>
      </w:r>
      <w:r>
        <w:rPr>
          <w:b w:val="0"/>
          <w:i w:val="0"/>
          <w:smallCaps w:val="0"/>
          <w:strike w:val="0"/>
          <w:sz w:val="16"/>
          <w:u w:val="none"/>
        </w:rPr>
        <w:t xml:space="preserve"> as the regulation of technology has to deal with obsolescence </w:t>
      </w:r>
      <w:r>
        <w:rPr>
          <w:b w:val="0"/>
          <w:i w:val="0"/>
          <w:smallCaps w:val="0"/>
          <w:strike w:val="0"/>
          <w:sz w:val="22"/>
          <w:u w:val="single"/>
        </w:rPr>
        <w:t>over time</w:t>
      </w:r>
      <w:r>
        <w:rPr>
          <w:b w:val="0"/>
          <w:i w:val="0"/>
          <w:smallCaps w:val="0"/>
          <w:strike w:val="0"/>
          <w:sz w:val="16"/>
          <w:u w:val="none"/>
        </w:rPr>
        <w:t xml:space="preserve">. One frequently employed legislative technique is to include open or general norms to future-proof the text of the law.  As a result, </w:t>
      </w:r>
      <w:r>
        <w:rPr>
          <w:b w:val="0"/>
          <w:i w:val="0"/>
          <w:smallCaps w:val="0"/>
          <w:strike w:val="0"/>
          <w:sz w:val="22"/>
          <w:highlight w:val="cyan"/>
          <w:u w:val="single"/>
        </w:rPr>
        <w:t xml:space="preserve">courts are </w:t>
      </w:r>
      <w:r>
        <w:rPr>
          <w:b w:val="0"/>
          <w:i w:val="0"/>
          <w:smallCaps w:val="0"/>
          <w:strike w:val="0"/>
          <w:sz w:val="22"/>
          <w:u w:val="single"/>
        </w:rPr>
        <w:t xml:space="preserve">often </w:t>
      </w:r>
      <w:r>
        <w:rPr>
          <w:b w:val="0"/>
          <w:i w:val="0"/>
          <w:smallCaps w:val="0"/>
          <w:strike w:val="0"/>
          <w:sz w:val="22"/>
          <w:highlight w:val="cyan"/>
          <w:u w:val="single"/>
        </w:rPr>
        <w:t xml:space="preserve">given the task of </w:t>
      </w:r>
      <w:r>
        <w:rPr>
          <w:b w:val="0"/>
          <w:i w:val="0"/>
          <w:smallCaps w:val="0"/>
          <w:strike w:val="0"/>
          <w:sz w:val="22"/>
          <w:u w:val="single"/>
        </w:rPr>
        <w:t xml:space="preserve">creating specific </w:t>
      </w:r>
      <w:r>
        <w:rPr>
          <w:b w:val="0"/>
          <w:i w:val="0"/>
          <w:smallCaps w:val="0"/>
          <w:strike w:val="0"/>
          <w:sz w:val="22"/>
          <w:highlight w:val="cyan"/>
          <w:u w:val="single"/>
        </w:rPr>
        <w:t>meanings</w:t>
      </w:r>
      <w:r>
        <w:rPr>
          <w:b w:val="0"/>
          <w:i w:val="0"/>
          <w:smallCaps w:val="0"/>
          <w:strike w:val="0"/>
          <w:sz w:val="16"/>
          <w:u w:val="none"/>
        </w:rPr>
        <w:t xml:space="preserve">. In common law countries, </w:t>
      </w:r>
      <w:r>
        <w:rPr>
          <w:b w:val="0"/>
          <w:i w:val="0"/>
          <w:smallCaps w:val="0"/>
          <w:strike w:val="0"/>
          <w:sz w:val="22"/>
          <w:highlight w:val="cyan"/>
          <w:u w:val="single"/>
        </w:rPr>
        <w:t>a courts’ discovery of law is almost expected,</w:t>
      </w:r>
      <w:r>
        <w:rPr>
          <w:b w:val="0"/>
          <w:i w:val="0"/>
          <w:smallCaps w:val="0"/>
          <w:strike w:val="0"/>
          <w:sz w:val="16"/>
          <w:u w:val="none"/>
        </w:rPr>
        <w:t xml:space="preserve"> although the scope may vary. One result of the tendency to rely on courts to articulate specific meanings of general law norms is the potential for judicial activism. In the EU, this has been a source of controversy where the structure of referral of questions about the interpretation of EU law leads to the CJEU actively making the law and creating autonomous EU IP norms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