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Reinvigorated </w:t>
      </w:r>
      <w:r>
        <w:rPr>
          <w:b/>
          <w:i w:val="0"/>
          <w:smallCaps w:val="0"/>
          <w:strike w:val="0"/>
          <w:sz w:val="26"/>
          <w:u w:val="single"/>
        </w:rPr>
        <w:t>judicial common law</w:t>
      </w:r>
      <w:r>
        <w:rPr>
          <w:b/>
          <w:i w:val="0"/>
          <w:smallCaps w:val="0"/>
          <w:strike w:val="0"/>
          <w:sz w:val="26"/>
          <w:u w:val="none"/>
        </w:rPr>
        <w:t xml:space="preserve"> is the </w:t>
      </w:r>
      <w:r>
        <w:rPr>
          <w:b/>
          <w:i w:val="0"/>
          <w:smallCaps w:val="0"/>
          <w:strike w:val="0"/>
          <w:sz w:val="26"/>
          <w:u w:val="single"/>
        </w:rPr>
        <w:t>only</w:t>
      </w:r>
      <w:r>
        <w:rPr>
          <w:b/>
          <w:i w:val="0"/>
          <w:smallCaps w:val="0"/>
          <w:strike w:val="0"/>
          <w:sz w:val="26"/>
          <w:u w:val="none"/>
        </w:rPr>
        <w:t xml:space="preserve"> effective prod for regulations that solve existential warming. </w:t>
      </w:r>
    </w:p>
    <w:p>
      <w:pPr>
        <w:spacing w:after="80"/>
      </w:pPr>
      <w:r>
        <w:rPr>
          <w:b/>
          <w:i w:val="0"/>
          <w:smallCaps w:val="0"/>
          <w:strike w:val="0"/>
          <w:sz w:val="26"/>
          <w:u w:val="none"/>
        </w:rPr>
        <w:t>Nevitt &amp; Percival 18</w:t>
      </w:r>
      <w:r>
        <w:rPr>
          <w:b w:val="0"/>
          <w:i w:val="0"/>
          <w:smallCaps w:val="0"/>
          <w:strike w:val="0"/>
          <w:u w:val="none"/>
        </w:rPr>
        <w:t xml:space="preserve">. [Mark Nevitt is a Fellow at the University of Pennsylvania Law School and a former active duty Navy Judge Advocate General (JAG) officer who served in the rank of commander. Robert Percival is a Professor of Law &amp; Director of the Environmental Law Program, University of Maryland Francis King Carey School of Law. “Could Official Climate Denial Revive The Common Law As A Regulatory Backstop?” </w:t>
      </w:r>
      <w:r>
        <w:rPr>
          <w:b w:val="0"/>
          <w:i/>
          <w:smallCaps w:val="0"/>
          <w:strike w:val="0"/>
          <w:u w:val="none"/>
        </w:rPr>
        <w:t>Washington University Law Review</w:t>
      </w:r>
      <w:r>
        <w:rPr>
          <w:b w:val="0"/>
          <w:i w:val="0"/>
          <w:smallCaps w:val="0"/>
          <w:strike w:val="0"/>
          <w:u w:val="none"/>
        </w:rPr>
        <w:t>, vol. 96, number 3. 2018. https://openscholarship.wustl.edu/law_lawreview/vol96/iss3/1/]//dawn</w:t>
      </w:r>
    </w:p>
    <w:p>
      <w:pPr>
        <w:spacing w:after="60"/>
      </w:pPr>
      <w:r>
        <w:rPr>
          <w:b w:val="0"/>
          <w:i w:val="0"/>
          <w:smallCaps w:val="0"/>
          <w:strike w:val="0"/>
          <w:u w:val="none"/>
        </w:rPr>
        <w:t>“</w:t>
      </w:r>
      <w:r>
        <w:rPr>
          <w:b/>
          <w:i w:val="0"/>
          <w:smallCaps w:val="0"/>
          <w:strike w:val="0"/>
          <w:sz w:val="22"/>
          <w:u w:val="single"/>
        </w:rPr>
        <w:t>Global warming</w:t>
      </w:r>
      <w:r>
        <w:rPr>
          <w:b w:val="0"/>
          <w:i w:val="0"/>
          <w:smallCaps w:val="0"/>
          <w:strike w:val="0"/>
          <w:u w:val="none"/>
        </w:rPr>
        <w:t xml:space="preserve"> </w:t>
      </w:r>
      <w:r>
        <w:rPr>
          <w:b w:val="0"/>
          <w:i w:val="0"/>
          <w:smallCaps w:val="0"/>
          <w:strike w:val="0"/>
          <w:sz w:val="22"/>
          <w:u w:val="single"/>
        </w:rPr>
        <w:t>may be a ‘crisis</w:t>
      </w:r>
      <w:r>
        <w:rPr>
          <w:b w:val="0"/>
          <w:i w:val="0"/>
          <w:smallCaps w:val="0"/>
          <w:strike w:val="0"/>
          <w:u w:val="none"/>
        </w:rPr>
        <w:t>,’ even ‘</w:t>
      </w:r>
      <w:r>
        <w:rPr>
          <w:b w:val="0"/>
          <w:i w:val="0"/>
          <w:smallCaps w:val="0"/>
          <w:strike w:val="0"/>
          <w:sz w:val="22"/>
          <w:u w:val="single"/>
        </w:rPr>
        <w:t>the most pressing environmental problem of our time</w:t>
      </w:r>
      <w:r>
        <w:rPr>
          <w:b w:val="0"/>
          <w:i w:val="0"/>
          <w:smallCaps w:val="0"/>
          <w:strike w:val="0"/>
          <w:u w:val="none"/>
        </w:rPr>
        <w:t xml:space="preserve">.’ Indeed, </w:t>
      </w:r>
      <w:r>
        <w:rPr>
          <w:b w:val="0"/>
          <w:i w:val="0"/>
          <w:smallCaps w:val="0"/>
          <w:strike w:val="0"/>
          <w:sz w:val="22"/>
          <w:u w:val="single"/>
        </w:rPr>
        <w:t xml:space="preserve">it may ultimately affect nearly </w:t>
      </w:r>
      <w:r>
        <w:rPr>
          <w:b/>
          <w:i w:val="0"/>
          <w:smallCaps w:val="0"/>
          <w:strike w:val="0"/>
          <w:sz w:val="22"/>
          <w:u w:val="single"/>
        </w:rPr>
        <w:t>everyone on the planet</w:t>
      </w:r>
      <w:r>
        <w:rPr>
          <w:b w:val="0"/>
          <w:i w:val="0"/>
          <w:smallCaps w:val="0"/>
          <w:strike w:val="0"/>
          <w:sz w:val="22"/>
          <w:u w:val="single"/>
        </w:rPr>
        <w:t xml:space="preserve"> in some potentially adverse way</w:t>
      </w:r>
      <w:r>
        <w:rPr>
          <w:b w:val="0"/>
          <w:i w:val="0"/>
          <w:smallCaps w:val="0"/>
          <w:strike w:val="0"/>
          <w:u w:val="none"/>
        </w:rPr>
        <w:t>, and it may be that governments have done too little to address it. It is not a problem, however, that has escaped the attention of policymakers in the Executive and Legislative Branches of our Government, who continue to consider regulatory, legislative, and treaty-based means of addressing global climate change.”</w:t>
      </w:r>
    </w:p>
    <w:p>
      <w:pPr>
        <w:spacing w:after="60"/>
      </w:pPr>
      <w:r>
        <w:rPr>
          <w:b w:val="0"/>
          <w:i w:val="0"/>
          <w:smallCaps w:val="0"/>
          <w:strike w:val="0"/>
          <w:u w:val="none"/>
        </w:rPr>
        <w:tab/>
        <w:t>— Chief Justice John Roberts, dissenting in Massachusetts v. EPA (2007)1</w:t>
      </w:r>
    </w:p>
    <w:p>
      <w:pPr>
        <w:spacing w:after="60"/>
      </w:pPr>
      <w:r>
        <w:rPr>
          <w:b w:val="0"/>
          <w:i w:val="0"/>
          <w:smallCaps w:val="0"/>
          <w:strike w:val="0"/>
          <w:u w:val="none"/>
        </w:rPr>
        <w:t>“The concept of global warming was created by and for the Chinese in order to make U.S. manufacturing non-competitive.”</w:t>
      </w:r>
    </w:p>
    <w:p>
      <w:pPr>
        <w:spacing w:after="60"/>
      </w:pPr>
      <w:r>
        <w:rPr>
          <w:b w:val="0"/>
          <w:i w:val="0"/>
          <w:smallCaps w:val="0"/>
          <w:strike w:val="0"/>
          <w:u w:val="none"/>
        </w:rPr>
        <w:t>— Donald J. Trump, Nov. 6, 20122</w:t>
      </w:r>
    </w:p>
    <w:p>
      <w:pPr>
        <w:spacing w:after="60"/>
      </w:pPr>
      <w:r>
        <w:rPr>
          <w:b w:val="0"/>
          <w:i w:val="0"/>
          <w:smallCaps w:val="0"/>
          <w:strike w:val="0"/>
          <w:u w:val="none"/>
        </w:rPr>
        <w:t>INTRODUCTION</w:t>
      </w:r>
    </w:p>
    <w:p>
      <w:pPr>
        <w:spacing w:after="60"/>
      </w:pPr>
      <w:r>
        <w:rPr>
          <w:b/>
          <w:i w:val="0"/>
          <w:smallCaps w:val="0"/>
          <w:strike w:val="0"/>
          <w:sz w:val="22"/>
          <w:u w:val="single"/>
        </w:rPr>
        <w:t>Prior to</w:t>
      </w:r>
      <w:r>
        <w:rPr>
          <w:b w:val="0"/>
          <w:i w:val="0"/>
          <w:smallCaps w:val="0"/>
          <w:strike w:val="0"/>
          <w:u w:val="none"/>
        </w:rPr>
        <w:t xml:space="preserve"> the advent of </w:t>
      </w:r>
      <w:r>
        <w:rPr>
          <w:b w:val="0"/>
          <w:i w:val="0"/>
          <w:smallCaps w:val="0"/>
          <w:strike w:val="0"/>
          <w:sz w:val="22"/>
          <w:u w:val="single"/>
        </w:rPr>
        <w:t>comprehensive</w:t>
      </w:r>
      <w:r>
        <w:rPr>
          <w:b/>
          <w:i w:val="0"/>
          <w:smallCaps w:val="0"/>
          <w:strike w:val="0"/>
          <w:sz w:val="22"/>
          <w:u w:val="single"/>
        </w:rPr>
        <w:t xml:space="preserve"> regulatory programs</w:t>
      </w:r>
      <w:r>
        <w:rPr>
          <w:b w:val="0"/>
          <w:i w:val="0"/>
          <w:smallCaps w:val="0"/>
          <w:strike w:val="0"/>
          <w:sz w:val="22"/>
          <w:u w:val="single"/>
        </w:rPr>
        <w:t xml:space="preserve"> to protect the environment</w:t>
      </w:r>
      <w:r>
        <w:rPr>
          <w:b w:val="0"/>
          <w:i w:val="0"/>
          <w:smallCaps w:val="0"/>
          <w:strike w:val="0"/>
          <w:u w:val="none"/>
        </w:rPr>
        <w:t xml:space="preserve">, </w:t>
      </w:r>
      <w:r>
        <w:rPr>
          <w:b/>
          <w:i w:val="0"/>
          <w:smallCaps w:val="0"/>
          <w:strike w:val="0"/>
          <w:sz w:val="22"/>
          <w:u w:val="single"/>
        </w:rPr>
        <w:t>the common law</w:t>
      </w:r>
      <w:r>
        <w:rPr>
          <w:b w:val="0"/>
          <w:i w:val="0"/>
          <w:smallCaps w:val="0"/>
          <w:strike w:val="0"/>
          <w:u w:val="none"/>
        </w:rPr>
        <w:t xml:space="preserve"> </w:t>
      </w:r>
      <w:r>
        <w:rPr>
          <w:b w:val="0"/>
          <w:i w:val="0"/>
          <w:smallCaps w:val="0"/>
          <w:strike w:val="0"/>
          <w:sz w:val="22"/>
          <w:u w:val="single"/>
        </w:rPr>
        <w:t xml:space="preserve">served as </w:t>
      </w:r>
      <w:r>
        <w:rPr>
          <w:b/>
          <w:i w:val="0"/>
          <w:smallCaps w:val="0"/>
          <w:strike w:val="0"/>
          <w:sz w:val="22"/>
          <w:u w:val="single"/>
        </w:rPr>
        <w:t>the primary vehicle</w:t>
      </w:r>
      <w:r>
        <w:rPr>
          <w:b w:val="0"/>
          <w:i w:val="0"/>
          <w:smallCaps w:val="0"/>
          <w:strike w:val="0"/>
          <w:u w:val="none"/>
        </w:rPr>
        <w:t xml:space="preserve"> </w:t>
      </w:r>
      <w:r>
        <w:rPr>
          <w:b w:val="0"/>
          <w:i w:val="0"/>
          <w:smallCaps w:val="0"/>
          <w:strike w:val="0"/>
          <w:sz w:val="22"/>
          <w:u w:val="single"/>
        </w:rPr>
        <w:t>for redressing environmental harm</w:t>
      </w:r>
      <w:r>
        <w:rPr>
          <w:b w:val="0"/>
          <w:i w:val="0"/>
          <w:smallCaps w:val="0"/>
          <w:strike w:val="0"/>
          <w:u w:val="none"/>
        </w:rPr>
        <w:t xml:space="preserve">. More than a century ago, </w:t>
      </w:r>
      <w:r>
        <w:rPr>
          <w:b w:val="0"/>
          <w:i w:val="0"/>
          <w:smallCaps w:val="0"/>
          <w:strike w:val="0"/>
          <w:sz w:val="22"/>
          <w:u w:val="single"/>
        </w:rPr>
        <w:t>states used the common law of interstate nuisance to seek redress for the most serious transboundary pollution problems.</w:t>
      </w:r>
      <w:r>
        <w:rPr>
          <w:b w:val="0"/>
          <w:i w:val="0"/>
          <w:smallCaps w:val="0"/>
          <w:strike w:val="0"/>
          <w:u w:val="none"/>
        </w:rPr>
        <w:t xml:space="preserve">3 </w:t>
      </w:r>
      <w:r>
        <w:rPr>
          <w:b w:val="0"/>
          <w:i w:val="0"/>
          <w:smallCaps w:val="0"/>
          <w:strike w:val="0"/>
          <w:sz w:val="22"/>
          <w:u w:val="single"/>
        </w:rPr>
        <w:t>Exercising</w:t>
      </w:r>
      <w:r>
        <w:rPr>
          <w:b w:val="0"/>
          <w:i w:val="0"/>
          <w:smallCaps w:val="0"/>
          <w:strike w:val="0"/>
          <w:u w:val="none"/>
        </w:rPr>
        <w:t xml:space="preserve"> its </w:t>
      </w:r>
      <w:r>
        <w:rPr>
          <w:b w:val="0"/>
          <w:i w:val="0"/>
          <w:smallCaps w:val="0"/>
          <w:strike w:val="0"/>
          <w:sz w:val="22"/>
          <w:u w:val="single"/>
        </w:rPr>
        <w:t>original jurisdiction over disputes between states, the</w:t>
      </w:r>
      <w:r>
        <w:rPr>
          <w:b w:val="0"/>
          <w:i w:val="0"/>
          <w:smallCaps w:val="0"/>
          <w:strike w:val="0"/>
          <w:u w:val="none"/>
        </w:rPr>
        <w:t xml:space="preserve"> U.S. </w:t>
      </w:r>
      <w:r>
        <w:rPr>
          <w:b w:val="0"/>
          <w:i w:val="0"/>
          <w:smallCaps w:val="0"/>
          <w:strike w:val="0"/>
          <w:sz w:val="22"/>
          <w:u w:val="single"/>
        </w:rPr>
        <w:t>Supreme Court issued injunctions limiting smelter emissions</w:t>
      </w:r>
      <w:r>
        <w:rPr>
          <w:b w:val="0"/>
          <w:i w:val="0"/>
          <w:smallCaps w:val="0"/>
          <w:strike w:val="0"/>
          <w:u w:val="none"/>
        </w:rPr>
        <w:t xml:space="preserve">4 </w:t>
      </w:r>
      <w:r>
        <w:rPr>
          <w:b w:val="0"/>
          <w:i w:val="0"/>
          <w:smallCaps w:val="0"/>
          <w:strike w:val="0"/>
          <w:sz w:val="22"/>
          <w:u w:val="single"/>
        </w:rPr>
        <w:t>and requiring cities to build sewage treatment plants</w:t>
      </w:r>
      <w:r>
        <w:rPr>
          <w:b w:val="0"/>
          <w:i w:val="0"/>
          <w:smallCaps w:val="0"/>
          <w:strike w:val="0"/>
          <w:u w:val="none"/>
        </w:rPr>
        <w:t xml:space="preserve">5 </w:t>
      </w:r>
      <w:r>
        <w:rPr>
          <w:b w:val="0"/>
          <w:i w:val="0"/>
          <w:smallCaps w:val="0"/>
          <w:strike w:val="0"/>
          <w:sz w:val="22"/>
          <w:u w:val="single"/>
        </w:rPr>
        <w:t>and</w:t>
      </w:r>
      <w:r>
        <w:rPr>
          <w:b w:val="0"/>
          <w:i w:val="0"/>
          <w:smallCaps w:val="0"/>
          <w:strike w:val="0"/>
          <w:u w:val="none"/>
        </w:rPr>
        <w:t xml:space="preserve"> </w:t>
      </w:r>
      <w:r>
        <w:rPr>
          <w:b w:val="0"/>
          <w:i w:val="0"/>
          <w:smallCaps w:val="0"/>
          <w:strike w:val="0"/>
          <w:sz w:val="22"/>
          <w:u w:val="single"/>
        </w:rPr>
        <w:t>garbage incinerators</w:t>
      </w:r>
      <w:r>
        <w:rPr>
          <w:b w:val="0"/>
          <w:i w:val="0"/>
          <w:smallCaps w:val="0"/>
          <w:strike w:val="0"/>
          <w:u w:val="none"/>
        </w:rPr>
        <w:t>.6</w:t>
      </w:r>
    </w:p>
    <w:p>
      <w:pPr>
        <w:spacing w:after="60"/>
      </w:pPr>
      <w:r>
        <w:rPr>
          <w:b/>
          <w:i w:val="0"/>
          <w:smallCaps w:val="0"/>
          <w:strike w:val="0"/>
          <w:sz w:val="22"/>
          <w:u w:val="single"/>
        </w:rPr>
        <w:t>Today</w:t>
      </w:r>
      <w:r>
        <w:rPr>
          <w:b w:val="0"/>
          <w:i w:val="0"/>
          <w:smallCaps w:val="0"/>
          <w:strike w:val="0"/>
          <w:u w:val="none"/>
        </w:rPr>
        <w:t xml:space="preserve"> the </w:t>
      </w:r>
      <w:r>
        <w:rPr>
          <w:b/>
          <w:i w:val="0"/>
          <w:smallCaps w:val="0"/>
          <w:strike w:val="0"/>
          <w:sz w:val="22"/>
          <w:u w:val="single"/>
        </w:rPr>
        <w:t>common law has been eclipsed by</w:t>
      </w:r>
      <w:r>
        <w:rPr>
          <w:b w:val="0"/>
          <w:i w:val="0"/>
          <w:smallCaps w:val="0"/>
          <w:strike w:val="0"/>
          <w:sz w:val="22"/>
          <w:u w:val="single"/>
        </w:rPr>
        <w:t xml:space="preserve"> the enactment of </w:t>
      </w:r>
      <w:r>
        <w:rPr>
          <w:b/>
          <w:i w:val="0"/>
          <w:smallCaps w:val="0"/>
          <w:strike w:val="0"/>
          <w:sz w:val="22"/>
          <w:u w:val="single"/>
        </w:rPr>
        <w:t>federal legislation</w:t>
      </w:r>
      <w:r>
        <w:rPr>
          <w:b w:val="0"/>
          <w:i w:val="0"/>
          <w:smallCaps w:val="0"/>
          <w:strike w:val="0"/>
          <w:sz w:val="22"/>
          <w:u w:val="single"/>
        </w:rPr>
        <w:t xml:space="preserve"> requiring agencies to regulate sources of pollution</w:t>
      </w:r>
      <w:r>
        <w:rPr>
          <w:b w:val="0"/>
          <w:i w:val="0"/>
          <w:smallCaps w:val="0"/>
          <w:strike w:val="0"/>
          <w:u w:val="none"/>
        </w:rPr>
        <w:t xml:space="preserve">. </w:t>
      </w:r>
      <w:r>
        <w:rPr>
          <w:b w:val="0"/>
          <w:i w:val="0"/>
          <w:smallCaps w:val="0"/>
          <w:strike w:val="0"/>
          <w:sz w:val="22"/>
          <w:u w:val="single"/>
        </w:rPr>
        <w:t>These statutes</w:t>
      </w:r>
      <w:r>
        <w:rPr>
          <w:b w:val="0"/>
          <w:i w:val="0"/>
          <w:smallCaps w:val="0"/>
          <w:strike w:val="0"/>
          <w:u w:val="none"/>
        </w:rPr>
        <w:t xml:space="preserve"> have been interpreted </w:t>
      </w:r>
      <w:r>
        <w:rPr>
          <w:b w:val="0"/>
          <w:i w:val="0"/>
          <w:smallCaps w:val="0"/>
          <w:strike w:val="0"/>
          <w:sz w:val="22"/>
          <w:u w:val="single"/>
        </w:rPr>
        <w:t>broadly</w:t>
      </w:r>
      <w:r>
        <w:rPr>
          <w:b w:val="0"/>
          <w:i w:val="0"/>
          <w:smallCaps w:val="0"/>
          <w:strike w:val="0"/>
          <w:u w:val="none"/>
        </w:rPr>
        <w:t xml:space="preserve"> to </w:t>
      </w:r>
      <w:r>
        <w:rPr>
          <w:b w:val="0"/>
          <w:i w:val="0"/>
          <w:smallCaps w:val="0"/>
          <w:strike w:val="0"/>
          <w:sz w:val="22"/>
          <w:u w:val="single"/>
        </w:rPr>
        <w:t>give agencies great power to respond to emerging problems</w:t>
      </w:r>
      <w:r>
        <w:rPr>
          <w:b w:val="0"/>
          <w:i w:val="0"/>
          <w:smallCaps w:val="0"/>
          <w:strike w:val="0"/>
          <w:u w:val="none"/>
        </w:rPr>
        <w:t xml:space="preserve">. For example, in Massachusetts v. EPA the U.S. Supreme Court held that the Clean Air Act (CAA) gives the U.S. Environmental Protection Agency (EPA) the authority to regulate greenhouse gas (GHG) emissions if they “endanger public health or welfare”7 by contributing to global warming and climate change.8 The Court rejected not only the claim that EPA lacked such authority, but also the agency’s other rationales for refusing to take action. 9 </w:t>
      </w:r>
      <w:r>
        <w:rPr>
          <w:b w:val="0"/>
          <w:i w:val="0"/>
          <w:smallCaps w:val="0"/>
          <w:strike w:val="0"/>
          <w:sz w:val="22"/>
          <w:u w:val="single"/>
        </w:rPr>
        <w:t>Following the ruling, EPA had to decide “whether sufficient information exist[ed] to make an endangerment finding</w:t>
      </w:r>
      <w:r>
        <w:rPr>
          <w:b w:val="0"/>
          <w:i w:val="0"/>
          <w:smallCaps w:val="0"/>
          <w:strike w:val="0"/>
          <w:u w:val="none"/>
        </w:rPr>
        <w:t>.”10 It made the endangerment finding two years later.11</w:t>
      </w:r>
    </w:p>
    <w:p>
      <w:pPr>
        <w:spacing w:after="60"/>
      </w:pPr>
      <w:r>
        <w:rPr>
          <w:b w:val="0"/>
          <w:i w:val="0"/>
          <w:smallCaps w:val="0"/>
          <w:strike w:val="0"/>
          <w:u w:val="none"/>
        </w:rPr>
        <w:t xml:space="preserve">In a series of cases beginning in the 1970s, the Court has held that the comprehensive regulatory programs erected by the Clean Water Act (CWA) and the CAA displace federal common law nuisance claims.12 </w:t>
      </w:r>
      <w:r>
        <w:rPr>
          <w:b w:val="0"/>
          <w:i w:val="0"/>
          <w:smallCaps w:val="0"/>
          <w:strike w:val="0"/>
          <w:sz w:val="22"/>
          <w:u w:val="single"/>
        </w:rPr>
        <w:t>When states sought to use public nuisance law to address the threats posed by climate change</w:t>
      </w:r>
      <w:r>
        <w:rPr>
          <w:b w:val="0"/>
          <w:i w:val="0"/>
          <w:smallCaps w:val="0"/>
          <w:strike w:val="0"/>
          <w:u w:val="none"/>
        </w:rPr>
        <w:t xml:space="preserve">, </w:t>
      </w:r>
      <w:r>
        <w:rPr>
          <w:b w:val="0"/>
          <w:i w:val="0"/>
          <w:smallCaps w:val="0"/>
          <w:strike w:val="0"/>
          <w:sz w:val="22"/>
          <w:u w:val="single"/>
        </w:rPr>
        <w:t>industry groups urged the Court to bar such actions on constitutional grounds</w:t>
      </w:r>
      <w:r>
        <w:rPr>
          <w:b w:val="0"/>
          <w:i w:val="0"/>
          <w:smallCaps w:val="0"/>
          <w:strike w:val="0"/>
          <w:u w:val="none"/>
        </w:rPr>
        <w:t xml:space="preserve">. 13 Instead, in June 2011 </w:t>
      </w:r>
      <w:r>
        <w:rPr>
          <w:b w:val="0"/>
          <w:i w:val="0"/>
          <w:smallCaps w:val="0"/>
          <w:strike w:val="0"/>
          <w:sz w:val="22"/>
          <w:u w:val="single"/>
        </w:rPr>
        <w:t>the Court held</w:t>
      </w:r>
      <w:r>
        <w:rPr>
          <w:b w:val="0"/>
          <w:i w:val="0"/>
          <w:smallCaps w:val="0"/>
          <w:strike w:val="0"/>
          <w:u w:val="none"/>
        </w:rPr>
        <w:t xml:space="preserve"> in American Electric Power Co., Inc. v. Connecticut (AEP) </w:t>
      </w:r>
      <w:r>
        <w:rPr>
          <w:b w:val="0"/>
          <w:i w:val="0"/>
          <w:smallCaps w:val="0"/>
          <w:strike w:val="0"/>
          <w:sz w:val="22"/>
          <w:u w:val="single"/>
        </w:rPr>
        <w:t>that the CAA displaced federal common law nuisance claims in the context of regulating GHG emissions</w:t>
      </w:r>
      <w:r>
        <w:rPr>
          <w:b w:val="0"/>
          <w:i w:val="0"/>
          <w:smallCaps w:val="0"/>
          <w:strike w:val="0"/>
          <w:u w:val="none"/>
        </w:rPr>
        <w:t>. At the time of the ruling, the Obama Administration EPA was moving aggressively to regulate GHG emissions. But, writing for a unanimous Court, Justice Ginsburg warned that a decision by the EPA not to regulate greenhouse gas emissions would invite litigation and would be subject to judicial review.14</w:t>
      </w:r>
    </w:p>
    <w:p>
      <w:pPr>
        <w:spacing w:after="60"/>
      </w:pPr>
      <w:r>
        <w:rPr>
          <w:b w:val="0"/>
          <w:i w:val="0"/>
          <w:smallCaps w:val="0"/>
          <w:strike w:val="0"/>
          <w:sz w:val="22"/>
          <w:u w:val="single"/>
        </w:rPr>
        <w:t>With the election of</w:t>
      </w:r>
      <w:r>
        <w:rPr>
          <w:b w:val="0"/>
          <w:i w:val="0"/>
          <w:smallCaps w:val="0"/>
          <w:strike w:val="0"/>
          <w:u w:val="none"/>
        </w:rPr>
        <w:t xml:space="preserve"> President </w:t>
      </w:r>
      <w:r>
        <w:rPr>
          <w:b w:val="0"/>
          <w:i w:val="0"/>
          <w:smallCaps w:val="0"/>
          <w:strike w:val="0"/>
          <w:sz w:val="22"/>
          <w:u w:val="single"/>
        </w:rPr>
        <w:t>Trump</w:t>
      </w:r>
      <w:r>
        <w:rPr>
          <w:b w:val="0"/>
          <w:i w:val="0"/>
          <w:smallCaps w:val="0"/>
          <w:strike w:val="0"/>
          <w:u w:val="none"/>
        </w:rPr>
        <w:t xml:space="preserve">, </w:t>
      </w:r>
      <w:r>
        <w:rPr>
          <w:b w:val="0"/>
          <w:i w:val="0"/>
          <w:smallCaps w:val="0"/>
          <w:strike w:val="0"/>
          <w:sz w:val="22"/>
          <w:u w:val="single"/>
        </w:rPr>
        <w:t>federal environmental policy has sharply shifted</w:t>
      </w:r>
      <w:r>
        <w:rPr>
          <w:b w:val="0"/>
          <w:i w:val="0"/>
          <w:smallCaps w:val="0"/>
          <w:strike w:val="0"/>
          <w:u w:val="none"/>
        </w:rPr>
        <w:t>. The President has announced his intent to withdraw the U.S. from the Paris Agreement that every other country in the world has accepted as a global response to climate change.15 EPA is moving aggressively to repeal the Obama Administration’s Clean Power Plan, 16 roll back Corporate Average Fuel Economy (CAFE) standards, and attempt to preempt state programs to reduce GHG emissions. 17 Many Trump supporters want EPA to reverse its finding that GHG emissions endanger public health and welfare by contributing to climate change.18</w:t>
      </w:r>
    </w:p>
    <w:p>
      <w:pPr>
        <w:spacing w:after="60"/>
      </w:pPr>
      <w:r>
        <w:rPr>
          <w:b w:val="0"/>
          <w:i w:val="0"/>
          <w:smallCaps w:val="0"/>
          <w:strike w:val="0"/>
          <w:u w:val="none"/>
        </w:rPr>
        <w:t xml:space="preserve">If the Trump EPA reverses the 2009 endangerment finding, this would foreclose the EPA’s ability to use the CAA to regulate GHG emissions. This Article considers whether such </w:t>
      </w:r>
      <w:r>
        <w:rPr>
          <w:b/>
          <w:i w:val="0"/>
          <w:smallCaps w:val="0"/>
          <w:strike w:val="0"/>
          <w:sz w:val="22"/>
          <w:u w:val="single"/>
        </w:rPr>
        <w:t>an action</w:t>
      </w:r>
      <w:r>
        <w:rPr>
          <w:b w:val="0"/>
          <w:i w:val="0"/>
          <w:smallCaps w:val="0"/>
          <w:strike w:val="0"/>
          <w:u w:val="none"/>
        </w:rPr>
        <w:t xml:space="preserve"> </w:t>
      </w:r>
      <w:r>
        <w:rPr>
          <w:b w:val="0"/>
          <w:i w:val="0"/>
          <w:smallCaps w:val="0"/>
          <w:strike w:val="0"/>
          <w:sz w:val="22"/>
          <w:u w:val="single"/>
        </w:rPr>
        <w:t xml:space="preserve">unwittingly </w:t>
      </w:r>
      <w:r>
        <w:rPr>
          <w:b/>
          <w:i w:val="0"/>
          <w:smallCaps w:val="0"/>
          <w:strike w:val="0"/>
          <w:sz w:val="22"/>
          <w:u w:val="single"/>
        </w:rPr>
        <w:t>could revive</w:t>
      </w:r>
      <w:r>
        <w:rPr>
          <w:b w:val="0"/>
          <w:i w:val="0"/>
          <w:smallCaps w:val="0"/>
          <w:strike w:val="0"/>
          <w:sz w:val="22"/>
          <w:u w:val="single"/>
        </w:rPr>
        <w:t xml:space="preserve"> the </w:t>
      </w:r>
      <w:r>
        <w:rPr>
          <w:b/>
          <w:i w:val="0"/>
          <w:smallCaps w:val="0"/>
          <w:strike w:val="0"/>
          <w:sz w:val="22"/>
          <w:u w:val="single"/>
        </w:rPr>
        <w:t>federal common law</w:t>
      </w:r>
      <w:r>
        <w:rPr>
          <w:b w:val="0"/>
          <w:i w:val="0"/>
          <w:smallCaps w:val="0"/>
          <w:strike w:val="0"/>
          <w:u w:val="none"/>
        </w:rPr>
        <w:t xml:space="preserve"> </w:t>
      </w:r>
      <w:r>
        <w:rPr>
          <w:b w:val="0"/>
          <w:i w:val="0"/>
          <w:smallCaps w:val="0"/>
          <w:strike w:val="0"/>
          <w:sz w:val="22"/>
          <w:u w:val="single"/>
        </w:rPr>
        <w:t>of nuisance as a regulatory backstop.</w:t>
      </w:r>
      <w:r>
        <w:rPr>
          <w:b w:val="0"/>
          <w:i w:val="0"/>
          <w:smallCaps w:val="0"/>
          <w:strike w:val="0"/>
          <w:u w:val="none"/>
        </w:rPr>
        <w:t xml:space="preserve"> While the Supreme Court ruled in AEP that the CAA displaces any federal common law right to seek abatement of carbon-dioxide emissions from fossil fuel-fired power plants, this was predicated on EPA actually making a reasoned and informed judgment of GHG emission dangers—not jettisoning agency expertise in favor of politics.19 </w:t>
      </w:r>
      <w:r>
        <w:rPr>
          <w:b/>
          <w:i w:val="0"/>
          <w:smallCaps w:val="0"/>
          <w:strike w:val="0"/>
          <w:sz w:val="22"/>
          <w:u w:val="single"/>
        </w:rPr>
        <w:t>This litigation</w:t>
      </w:r>
      <w:r>
        <w:rPr>
          <w:b w:val="0"/>
          <w:i w:val="0"/>
          <w:smallCaps w:val="0"/>
          <w:strike w:val="0"/>
          <w:sz w:val="22"/>
          <w:u w:val="single"/>
        </w:rPr>
        <w:t>, particularly if brought by states as quasi-sovereigns against EPA,</w:t>
      </w:r>
      <w:r>
        <w:rPr>
          <w:b w:val="0"/>
          <w:i w:val="0"/>
          <w:smallCaps w:val="0"/>
          <w:strike w:val="0"/>
          <w:u w:val="none"/>
        </w:rPr>
        <w:t xml:space="preserve"> </w:t>
      </w:r>
      <w:r>
        <w:rPr>
          <w:b w:val="0"/>
          <w:i w:val="0"/>
          <w:smallCaps w:val="0"/>
          <w:strike w:val="0"/>
          <w:sz w:val="22"/>
          <w:u w:val="single"/>
        </w:rPr>
        <w:t xml:space="preserve">could serve as a </w:t>
      </w:r>
      <w:r>
        <w:rPr>
          <w:b/>
          <w:i w:val="0"/>
          <w:smallCaps w:val="0"/>
          <w:strike w:val="0"/>
          <w:sz w:val="22"/>
          <w:u w:val="single"/>
        </w:rPr>
        <w:t>powerful prod</w:t>
      </w:r>
      <w:r>
        <w:rPr>
          <w:b w:val="0"/>
          <w:i w:val="0"/>
          <w:smallCaps w:val="0"/>
          <w:strike w:val="0"/>
          <w:sz w:val="22"/>
          <w:u w:val="single"/>
        </w:rPr>
        <w:t xml:space="preserve"> to </w:t>
      </w:r>
      <w:r>
        <w:rPr>
          <w:b/>
          <w:i w:val="0"/>
          <w:smallCaps w:val="0"/>
          <w:strike w:val="0"/>
          <w:sz w:val="22"/>
          <w:u w:val="single"/>
        </w:rPr>
        <w:t>force federal action</w:t>
      </w:r>
      <w:r>
        <w:rPr>
          <w:b w:val="0"/>
          <w:i w:val="0"/>
          <w:smallCaps w:val="0"/>
          <w:strike w:val="0"/>
          <w:sz w:val="22"/>
          <w:u w:val="single"/>
        </w:rPr>
        <w:t xml:space="preserve"> on climate change</w:t>
      </w:r>
      <w:r>
        <w:rPr>
          <w:b w:val="0"/>
          <w:i w:val="0"/>
          <w:smallCaps w:val="0"/>
          <w:strike w:val="0"/>
          <w:u w:val="none"/>
        </w:rPr>
        <w:t xml:space="preserve">. After all, </w:t>
      </w:r>
      <w:r>
        <w:rPr>
          <w:b/>
          <w:i w:val="0"/>
          <w:smallCaps w:val="0"/>
          <w:strike w:val="0"/>
          <w:sz w:val="22"/>
          <w:u w:val="single"/>
        </w:rPr>
        <w:t>states have the “last word</w:t>
      </w:r>
      <w:r>
        <w:rPr>
          <w:b w:val="0"/>
          <w:i w:val="0"/>
          <w:smallCaps w:val="0"/>
          <w:strike w:val="0"/>
          <w:u w:val="none"/>
        </w:rPr>
        <w:t xml:space="preserve"> </w:t>
      </w:r>
      <w:r>
        <w:rPr>
          <w:b w:val="0"/>
          <w:i w:val="0"/>
          <w:smallCaps w:val="0"/>
          <w:strike w:val="0"/>
          <w:sz w:val="22"/>
          <w:u w:val="single"/>
        </w:rPr>
        <w:t>as to whether [their] mountains shall be stripped of their forests and [their] inhabitants shall breathe pure air.”</w:t>
      </w:r>
      <w:r>
        <w:rPr>
          <w:b w:val="0"/>
          <w:i w:val="0"/>
          <w:smallCaps w:val="0"/>
          <w:strike w:val="0"/>
          <w:u w:val="none"/>
        </w:rPr>
        <w:t>20</w:t>
      </w:r>
    </w:p>
    <w:p>
      <w:pPr>
        <w:spacing w:after="60"/>
      </w:pPr>
      <w:r>
        <w:rPr>
          <w:b w:val="0"/>
          <w:i w:val="0"/>
          <w:smallCaps w:val="0"/>
          <w:strike w:val="0"/>
          <w:u w:val="none"/>
        </w:rPr>
        <w:t>In light of the Trump EPA’s current stance on environmental regulations, the Court’s decision in AEP, and other nuisance cases decided by federal appellate courts, 21 this is a propitious time to reconsider the use of public nuisance law to redress environmental problems. This Article focuses on what we call “</w:t>
      </w:r>
      <w:r>
        <w:rPr>
          <w:b w:val="0"/>
          <w:i w:val="0"/>
          <w:smallCaps w:val="0"/>
          <w:strike w:val="0"/>
          <w:sz w:val="22"/>
          <w:u w:val="single"/>
        </w:rPr>
        <w:t>the common law of interstate nuisance</w:t>
      </w:r>
      <w:r>
        <w:rPr>
          <w:b w:val="0"/>
          <w:i w:val="0"/>
          <w:smallCaps w:val="0"/>
          <w:strike w:val="0"/>
          <w:u w:val="none"/>
        </w:rPr>
        <w:t xml:space="preserve">”—a body of law developed when states, acting in a parens patriae capacity, </w:t>
      </w:r>
      <w:r>
        <w:rPr>
          <w:b w:val="0"/>
          <w:i w:val="0"/>
          <w:smallCaps w:val="0"/>
          <w:strike w:val="0"/>
          <w:sz w:val="22"/>
          <w:u w:val="single"/>
        </w:rPr>
        <w:t>sought to protect their citizens from environmental harm originating in other states through public nuisance actions under either federal or state common law</w:t>
      </w:r>
      <w:r>
        <w:rPr>
          <w:b w:val="0"/>
          <w:i w:val="0"/>
          <w:smallCaps w:val="0"/>
          <w:strike w:val="0"/>
          <w:u w:val="none"/>
        </w:rPr>
        <w:t>.22</w:t>
      </w:r>
    </w:p>
    <w:p>
      <w:pPr>
        <w:spacing w:after="60"/>
      </w:pPr>
      <w:r>
        <w:rPr>
          <w:b w:val="0"/>
          <w:i w:val="0"/>
          <w:smallCaps w:val="0"/>
          <w:strike w:val="0"/>
          <w:u w:val="none"/>
        </w:rPr>
        <w:t xml:space="preserve">This Article makes two core arguments. First, it maintains that </w:t>
      </w:r>
      <w:r>
        <w:rPr>
          <w:b w:val="0"/>
          <w:i w:val="0"/>
          <w:smallCaps w:val="0"/>
          <w:strike w:val="0"/>
          <w:sz w:val="22"/>
          <w:u w:val="single"/>
        </w:rPr>
        <w:t>the common law of nuisance remains an essential backstop when existing regulatory authorities fail to address significant environmental problems</w:t>
      </w:r>
      <w:r>
        <w:rPr>
          <w:b w:val="0"/>
          <w:i w:val="0"/>
          <w:smallCaps w:val="0"/>
          <w:strike w:val="0"/>
          <w:u w:val="none"/>
        </w:rPr>
        <w:t xml:space="preserve">. Second, </w:t>
      </w:r>
      <w:r>
        <w:rPr>
          <w:b w:val="0"/>
          <w:i w:val="0"/>
          <w:smallCaps w:val="0"/>
          <w:strike w:val="0"/>
          <w:sz w:val="22"/>
          <w:u w:val="single"/>
        </w:rPr>
        <w:t>reconnecting nuisance law to its historical roots, the Article maintains that common law litigation has served as an effective prod to help spur the development and implementation of new pollution control technology and to stimulate regulatory action</w:t>
      </w:r>
      <w:r>
        <w:rPr>
          <w:b w:val="0"/>
          <w:i w:val="0"/>
          <w:smallCaps w:val="0"/>
          <w:strike w:val="0"/>
          <w:u w:val="none"/>
        </w:rPr>
        <w:t xml:space="preserve"> to require its use, rather than serving as a vehicle for the judiciary to impose its own solutions for environmental problems. 23</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