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Common Law good for climate change, it proves to be a good safety net for when climate acts will not be passed.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Nicholas </w:t>
      </w:r>
      <w:r>
        <w:rPr>
          <w:b/>
          <w:i w:val="0"/>
          <w:smallCaps w:val="0"/>
          <w:strike w:val="0"/>
          <w:u w:val="none"/>
        </w:rPr>
        <w:t xml:space="preserve">Bellos,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u w:val="none"/>
        </w:rPr>
        <w:t xml:space="preserve">19, </w:t>
      </w:r>
      <w:r>
        <w:rPr>
          <w:b w:val="0"/>
          <w:i w:val="0"/>
          <w:smallCaps w:val="0"/>
          <w:strike w:val="0"/>
          <w:u w:val="none"/>
        </w:rPr>
        <w:t>- Bachelors Degree from University of Pennsylvania, associate in the Litigation Department, former Law Clerk to the Honorable Majorie O. Rendell of the US States Courts of Appeals; The Regulatory Review: “Could the Common Law Help Combat Climate Change?” 7/15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Nevitt and Percival also argue that nuisance law claims would be particularly successful if brought by state governments against EPA. </w:t>
      </w:r>
      <w:r>
        <w:rPr>
          <w:b w:val="0"/>
          <w:i w:val="0"/>
          <w:smallCaps w:val="0"/>
          <w:strike w:val="0"/>
          <w:u w:val="single"/>
        </w:rPr>
        <w:t xml:space="preserve">These suits could more likely reach the legal merits, they write, because the Supreme Court has historically been more attentive to the needs and rights of “quasi-sovereign” entities like states. </w:t>
      </w:r>
      <w:r>
        <w:rPr>
          <w:b w:val="0"/>
          <w:i w:val="0"/>
          <w:smallCaps w:val="0"/>
          <w:strike w:val="0"/>
          <w:u w:val="none"/>
        </w:rPr>
        <w:t>The Court has granted this solicitude because, as Justice Oliver Wendell Homes wrote, a state should have the “last word as to whether its mountains shall be stripped of their forests and its inhabitants shall breathe pure air.”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Arguing for the viability of nuisance law claims, though, is not meant to endorse them as a replacement to administrative rulemaking, Nevitt and Percival say. Instead, they argue that the </w:t>
      </w:r>
      <w:r>
        <w:rPr>
          <w:b w:val="0"/>
          <w:i w:val="0"/>
          <w:smallCaps w:val="0"/>
          <w:strike w:val="0"/>
          <w:highlight w:val="cyan"/>
          <w:u w:val="single"/>
        </w:rPr>
        <w:t>common law will remain an “essential backstop when existing</w:t>
      </w:r>
      <w:r>
        <w:rPr>
          <w:b w:val="0"/>
          <w:i w:val="0"/>
          <w:smallCaps w:val="0"/>
          <w:strike w:val="0"/>
          <w:u w:val="single"/>
        </w:rPr>
        <w:t xml:space="preserve"> regulatory </w:t>
      </w:r>
      <w:r>
        <w:rPr>
          <w:b w:val="0"/>
          <w:i w:val="0"/>
          <w:smallCaps w:val="0"/>
          <w:strike w:val="0"/>
          <w:highlight w:val="cyan"/>
          <w:u w:val="single"/>
        </w:rPr>
        <w:t>authorities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fail to address significant environmental problems.</w:t>
      </w:r>
      <w:r>
        <w:rPr>
          <w:b w:val="0"/>
          <w:i w:val="0"/>
          <w:smallCaps w:val="0"/>
          <w:strike w:val="0"/>
          <w:u w:val="single"/>
        </w:rPr>
        <w:t>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Although litigation is inherently retrospective and slow, Nevitt and Percival contend that </w:t>
      </w:r>
      <w:r>
        <w:rPr>
          <w:b w:val="0"/>
          <w:i w:val="0"/>
          <w:smallCaps w:val="0"/>
          <w:strike w:val="0"/>
          <w:highlight w:val="cyan"/>
          <w:u w:val="single"/>
        </w:rPr>
        <w:t>the threat of common law suits can still encourage the legislative and executive branches to use proactively the authority</w:t>
      </w:r>
      <w:r>
        <w:rPr>
          <w:b w:val="0"/>
          <w:i w:val="0"/>
          <w:smallCaps w:val="0"/>
          <w:strike w:val="0"/>
          <w:u w:val="single"/>
        </w:rPr>
        <w:t xml:space="preserve"> granted them by the seminal environmental statutes.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