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Court outcomes can’t influence elections---they come out after the election, with the earliest decisions being given in December.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United States Courts 24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u w:val="none"/>
        </w:rPr>
        <w:t>Official U.S. Courts Website</w:t>
      </w:r>
      <w:r>
        <w:rPr>
          <w:b w:val="0"/>
          <w:i w:val="0"/>
          <w:smallCaps w:val="0"/>
          <w:strike w:val="0"/>
          <w:u w:val="none"/>
        </w:rPr>
        <w:t>. “Supreme Court Procedures.” https://www.uscourts.gov/about-federal-courts/educational-resources/about-educational-outreach/activity-resources/supreme-1 //rr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All opinions of the Court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typically,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handed down by the last day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Court's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(the day in late June/early July when the Court recesses for the summer). With the exception of this deadline, there are no rules concerning when decisions must be released. </w:t>
      </w:r>
      <w:r>
        <w:rPr>
          <w:b w:val="0"/>
          <w:i w:val="0"/>
          <w:smallCaps w:val="0"/>
          <w:strike w:val="0"/>
          <w:sz w:val="22"/>
          <w:u w:val="single"/>
        </w:rPr>
        <w:t>Typically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are unanimous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released sooner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than those that have concurring and dissenting opinions. While some unanimous decisions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handed down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early as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December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controversial opinions,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if heard in October, may not be handed down until the last day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term.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