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Congress more reliable than the Court regarding patents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 xml:space="preserve">Eischen 24 </w:t>
      </w:r>
      <w:r>
        <w:rPr>
          <w:b w:val="0"/>
          <w:i w:val="0"/>
          <w:smallCaps w:val="0"/>
          <w:strike w:val="0"/>
          <w:u w:val="none"/>
        </w:rPr>
        <w:t>[Jay E.; J.D. candidate at Vanderbilt University Law School, B.S. in industrial engineering and management at Oklahoma State University. 6/9/24 “</w:t>
      </w:r>
      <w:r>
        <w:rPr>
          <w:b w:val="0"/>
          <w:i w:val="0"/>
          <w:smallCaps w:val="0"/>
          <w:strike w:val="0"/>
          <w:u w:val="none"/>
        </w:rPr>
        <w:t>Make It Make Sense: How Congress Can (and Should) Clarify Patent-Eligible Subject Matter</w:t>
      </w:r>
      <w:r>
        <w:rPr>
          <w:b w:val="0"/>
          <w:i w:val="0"/>
          <w:smallCaps w:val="0"/>
          <w:strike w:val="0"/>
          <w:u w:val="none"/>
        </w:rPr>
        <w:t xml:space="preserve">” The Vanderbilt Journal of Entertainment and Technology Law, Volume 26 – 2024, Issue 4. </w:t>
      </w:r>
      <w:r>
        <w:rPr>
          <w:b w:val="0"/>
          <w:i w:val="0"/>
          <w:smallCaps w:val="0"/>
          <w:strike w:val="0"/>
          <w:u w:val="none"/>
        </w:rPr>
        <w:t>https://www.vanderbilt.edu/jetlaw/2024/06/09/make-it-make-sense-how-congress-can-and-should-clarify-patent-eligible-subject-matter/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Reforming eligible subject matter requires a</w:t>
      </w:r>
      <w:r>
        <w:rPr>
          <w:b w:val="0"/>
          <w:i w:val="0"/>
          <w:smallCaps w:val="0"/>
          <w:strike w:val="0"/>
          <w:u w:val="single"/>
        </w:rPr>
        <w:t xml:space="preserve"> choice of </w:t>
      </w:r>
      <w:r>
        <w:rPr>
          <w:b w:val="0"/>
          <w:i w:val="0"/>
          <w:smallCaps w:val="0"/>
          <w:strike w:val="0"/>
          <w:highlight w:val="cyan"/>
          <w:u w:val="single"/>
        </w:rPr>
        <w:t>institutional actor</w:t>
      </w:r>
      <w:r>
        <w:rPr>
          <w:b w:val="0"/>
          <w:i w:val="0"/>
          <w:smallCaps w:val="0"/>
          <w:strike w:val="0"/>
          <w:u w:val="single"/>
        </w:rPr>
        <w:t xml:space="preserve">, and while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Supreme </w:t>
      </w:r>
      <w:r>
        <w:rPr>
          <w:b w:val="0"/>
          <w:i w:val="0"/>
          <w:smallCaps w:val="0"/>
          <w:strike w:val="0"/>
          <w:highlight w:val="cyan"/>
          <w:u w:val="single"/>
        </w:rPr>
        <w:t>Court</w:t>
      </w:r>
      <w:r>
        <w:rPr>
          <w:b w:val="0"/>
          <w:i w:val="0"/>
          <w:smallCaps w:val="0"/>
          <w:strike w:val="0"/>
          <w:u w:val="single"/>
        </w:rPr>
        <w:t xml:space="preserve"> could choose to provide clarity, </w:t>
      </w:r>
      <w:r>
        <w:rPr>
          <w:b w:val="0"/>
          <w:i w:val="0"/>
          <w:smallCaps w:val="0"/>
          <w:strike w:val="0"/>
          <w:highlight w:val="cyan"/>
          <w:u w:val="single"/>
        </w:rPr>
        <w:t>it has steadfastly refused to grant certiorari in cases</w:t>
      </w:r>
      <w:r>
        <w:rPr>
          <w:b w:val="0"/>
          <w:i w:val="0"/>
          <w:smallCaps w:val="0"/>
          <w:strike w:val="0"/>
          <w:u w:val="single"/>
        </w:rPr>
        <w:t xml:space="preserve"> raising eligible subject matter questions.</w:t>
      </w:r>
      <w:r>
        <w:rPr>
          <w:b w:val="0"/>
          <w:i w:val="0"/>
          <w:smallCaps w:val="0"/>
          <w:strike w:val="0"/>
          <w:u w:val="none"/>
        </w:rPr>
        <w:t xml:space="preserve">62 Beyond the apparent lack of interest, the Court is constrained by its precedent and limited constitutional authority, as it is vested with only judicial—not legislative—power.63 </w:t>
      </w:r>
      <w:r>
        <w:rPr>
          <w:b w:val="0"/>
          <w:i w:val="0"/>
          <w:smallCaps w:val="0"/>
          <w:strike w:val="0"/>
          <w:u w:val="single"/>
        </w:rPr>
        <w:t xml:space="preserve">Thus, </w:t>
      </w:r>
      <w:r>
        <w:rPr>
          <w:b w:val="0"/>
          <w:i w:val="0"/>
          <w:smallCaps w:val="0"/>
          <w:strike w:val="0"/>
          <w:highlight w:val="cyan"/>
          <w:u w:val="single"/>
        </w:rPr>
        <w:t>while the Court could provide some</w:t>
      </w:r>
      <w:r>
        <w:rPr>
          <w:b w:val="0"/>
          <w:i w:val="0"/>
          <w:smallCaps w:val="0"/>
          <w:strike w:val="0"/>
          <w:u w:val="single"/>
        </w:rPr>
        <w:t xml:space="preserve"> measure of interpretive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clarity, its authority to </w:t>
      </w:r>
      <w:r>
        <w:rPr>
          <w:b w:val="0"/>
          <w:i w:val="0"/>
          <w:smallCaps w:val="0"/>
          <w:strike w:val="0"/>
          <w:u w:val="single"/>
        </w:rPr>
        <w:t xml:space="preserve">wholly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rewrite patent statutes is limited </w:t>
      </w:r>
      <w:r>
        <w:rPr>
          <w:b w:val="0"/>
          <w:i w:val="0"/>
          <w:smallCaps w:val="0"/>
          <w:strike w:val="0"/>
          <w:u w:val="single"/>
        </w:rPr>
        <w:t>both textually and doctrinally</w:t>
      </w:r>
      <w:r>
        <w:rPr>
          <w:b w:val="0"/>
          <w:i w:val="0"/>
          <w:smallCaps w:val="0"/>
          <w:strike w:val="0"/>
          <w:u w:val="none"/>
        </w:rPr>
        <w:t xml:space="preserve">.64 Likewise, as a purely executive administrative agency, the US Patent and Trademark Office (USPTO) could not make such a change absent a valid delegation of authority from Congress.65 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Congress itself, however, is not so limited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It has substantially greater fact-finding ability than courts, and its authority on the subject of patents is plenary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66 In fact, Congress has previously exercised this authority to rein in a judiciary that was perceived as overly hostile to patentees.67 Faced with the contemporary Court’s priorities, which some commentators see as similarly hostile, </w:t>
      </w:r>
      <w:r>
        <w:rPr>
          <w:b w:val="0"/>
          <w:i w:val="0"/>
          <w:smallCaps w:val="0"/>
          <w:strike w:val="0"/>
          <w:highlight w:val="cyan"/>
          <w:u w:val="single"/>
        </w:rPr>
        <w:t>Congress has recently taken steps toward reform</w:t>
      </w:r>
      <w:r>
        <w:rPr>
          <w:b w:val="0"/>
          <w:i w:val="0"/>
          <w:smallCaps w:val="0"/>
          <w:strike w:val="0"/>
          <w:u w:val="single"/>
        </w:rPr>
        <w:t>.68 Despite concerns over Congress’s ability to legislate effectively,69 the most recent and promising legislation, the Patent Eligibility Restoration Act of 2023 (PERA), provides a proposal that would wrest control over eligible subject matter away from the arcane realm of judicial exceptions and replace it with considerably less ambiguous statutory exclusions.7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