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Supreme Court’s interference in trademark law is </w:t>
      </w:r>
      <w:r>
        <w:rPr>
          <w:b/>
          <w:i w:val="0"/>
          <w:smallCaps w:val="0"/>
          <w:strike w:val="0"/>
          <w:sz w:val="26"/>
          <w:u w:val="single"/>
        </w:rPr>
        <w:t>confusing</w:t>
      </w:r>
      <w:r>
        <w:rPr>
          <w:b/>
          <w:i w:val="0"/>
          <w:smallCaps w:val="0"/>
          <w:strike w:val="0"/>
          <w:sz w:val="26"/>
          <w:u w:val="none"/>
        </w:rPr>
        <w:t xml:space="preserve"> and causes </w:t>
      </w:r>
      <w:r>
        <w:rPr>
          <w:b/>
          <w:i w:val="0"/>
          <w:smallCaps w:val="0"/>
          <w:strike w:val="0"/>
          <w:sz w:val="26"/>
          <w:u w:val="single"/>
        </w:rPr>
        <w:t>heaps</w:t>
      </w:r>
      <w:r>
        <w:rPr>
          <w:b/>
          <w:i w:val="0"/>
          <w:smallCaps w:val="0"/>
          <w:strike w:val="0"/>
          <w:sz w:val="26"/>
          <w:u w:val="none"/>
        </w:rPr>
        <w:t xml:space="preserve"> of </w:t>
      </w:r>
      <w:r>
        <w:rPr>
          <w:b/>
          <w:i w:val="0"/>
          <w:smallCaps w:val="0"/>
          <w:strike w:val="0"/>
          <w:sz w:val="26"/>
          <w:u w:val="single"/>
        </w:rPr>
        <w:t>legal uncertainty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Allison </w:t>
      </w:r>
      <w:r>
        <w:rPr>
          <w:b/>
          <w:i w:val="0"/>
          <w:smallCaps w:val="0"/>
          <w:strike w:val="0"/>
          <w:sz w:val="26"/>
          <w:u w:val="none"/>
        </w:rPr>
        <w:t>Richards 24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u w:val="none"/>
        </w:rPr>
        <w:t>J.D. Candidate at the University of Georgia School of Law</w:t>
      </w:r>
      <w:r>
        <w:rPr>
          <w:b w:val="0"/>
          <w:i w:val="0"/>
          <w:smallCaps w:val="0"/>
          <w:strike w:val="0"/>
          <w:u w:val="none"/>
        </w:rPr>
        <w:t>. “</w:t>
      </w:r>
      <w:r>
        <w:rPr>
          <w:b w:val="0"/>
          <w:i w:val="0"/>
          <w:smallCaps w:val="0"/>
          <w:strike w:val="0"/>
          <w:u w:val="none"/>
        </w:rPr>
        <w:t>Navigating the Trademark Parody Paradigm: Assessing the Impact of the ‘Bad Spaniels’ Decision on IP Owners, Creatives, and Self-Parody in the in the Post-Jack Daniel’s Era</w:t>
      </w:r>
      <w:r>
        <w:rPr>
          <w:b w:val="0"/>
          <w:i w:val="0"/>
          <w:smallCaps w:val="0"/>
          <w:strike w:val="0"/>
          <w:u w:val="none"/>
        </w:rPr>
        <w:t xml:space="preserve">.” </w:t>
      </w:r>
      <w:r>
        <w:rPr>
          <w:b w:val="0"/>
          <w:i/>
          <w:smallCaps w:val="0"/>
          <w:strike w:val="0"/>
          <w:u w:val="none"/>
        </w:rPr>
        <w:t>Journal of Intellectual Property Law</w:t>
      </w:r>
      <w:r>
        <w:rPr>
          <w:b w:val="0"/>
          <w:i w:val="0"/>
          <w:smallCaps w:val="0"/>
          <w:strike w:val="0"/>
          <w:u w:val="none"/>
        </w:rPr>
        <w:t>. Volume 31, Issue 2, Article 6. 06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10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2024 .</w:t>
      </w:r>
      <w:r>
        <w:rPr>
          <w:b w:val="0"/>
          <w:i w:val="0"/>
          <w:smallCaps w:val="0"/>
          <w:strike w:val="0"/>
          <w:u w:val="none"/>
        </w:rPr>
        <w:t>https://digitalcommons.law.uga.edu/cgi/viewcontent.cgi?article=1530&amp;context=jipl //rr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That is, until earlier this year, when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everything changed. In June of 2023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Supreme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Court’s holding in Jack Daniel’s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Properties, Inc. v. VIP Products LLC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took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world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 law by surprise</w:t>
      </w:r>
      <w:r>
        <w:rPr>
          <w:b w:val="0"/>
          <w:i w:val="0"/>
          <w:smallCaps w:val="0"/>
          <w:strike w:val="0"/>
          <w:sz w:val="16"/>
          <w:u w:val="none"/>
        </w:rPr>
        <w:t>. The Jack Daniel’s case, commonly referred to as the ‘</w:t>
      </w:r>
      <w:r>
        <w:rPr>
          <w:b w:val="0"/>
          <w:i w:val="0"/>
          <w:smallCaps w:val="0"/>
          <w:strike w:val="0"/>
          <w:sz w:val="22"/>
          <w:u w:val="single"/>
        </w:rPr>
        <w:t>Bad Spaniels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case, in effect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declined to apply the Rogers test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under similar circumstances, reasoning that Rogers does not apply where “the challenged use of a mark is as a mark.”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implications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Supreme Court’s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perplexing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somewhat staggering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decision in the ‘Bad Spaniels’ case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has now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created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vast legal uncertainty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both major </w:t>
      </w:r>
      <w:r>
        <w:rPr>
          <w:b w:val="0"/>
          <w:i w:val="0"/>
          <w:smallCaps w:val="0"/>
          <w:strike w:val="0"/>
          <w:sz w:val="22"/>
          <w:u w:val="single"/>
        </w:rPr>
        <w:t>intellectual property (“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IP”) owners and creatives </w:t>
      </w:r>
      <w:r>
        <w:rPr>
          <w:b w:val="0"/>
          <w:i w:val="0"/>
          <w:smallCaps w:val="0"/>
          <w:strike w:val="0"/>
          <w:sz w:val="22"/>
          <w:u w:val="single"/>
        </w:rPr>
        <w:t>alike. Creatives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continue to </w:t>
      </w:r>
      <w:r>
        <w:rPr>
          <w:b w:val="0"/>
          <w:i w:val="0"/>
          <w:smallCaps w:val="0"/>
          <w:strike w:val="0"/>
          <w:sz w:val="22"/>
          <w:u w:val="single"/>
        </w:rPr>
        <w:t>offer free-expression arguments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crafting parodies and satires (e.g., the ‘Bad Spaniels’ dog chew-toy poking fun at the widely recognized whiskey company) </w:t>
      </w:r>
      <w:r>
        <w:rPr>
          <w:b w:val="0"/>
          <w:i w:val="0"/>
          <w:smallCaps w:val="0"/>
          <w:strike w:val="0"/>
          <w:sz w:val="22"/>
          <w:u w:val="single"/>
        </w:rPr>
        <w:t>to justify the alleged fair use of another’s mark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stark contrast, </w:t>
      </w:r>
      <w:r>
        <w:rPr>
          <w:b w:val="0"/>
          <w:i w:val="0"/>
          <w:smallCaps w:val="0"/>
          <w:strike w:val="0"/>
          <w:sz w:val="22"/>
          <w:u w:val="single"/>
        </w:rPr>
        <w:t>IP owners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unsurprisingly, </w:t>
      </w:r>
      <w:r>
        <w:rPr>
          <w:b w:val="0"/>
          <w:i w:val="0"/>
          <w:smallCaps w:val="0"/>
          <w:strike w:val="0"/>
          <w:sz w:val="22"/>
          <w:u w:val="single"/>
        </w:rPr>
        <w:t>taken the position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</w:t>
      </w:r>
      <w:r>
        <w:rPr>
          <w:b w:val="0"/>
          <w:i w:val="0"/>
          <w:smallCaps w:val="0"/>
          <w:strike w:val="0"/>
          <w:sz w:val="22"/>
          <w:u w:val="single"/>
        </w:rPr>
        <w:t>parodic 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their mark, as a mark, </w:t>
      </w:r>
      <w:r>
        <w:rPr>
          <w:b w:val="0"/>
          <w:i w:val="0"/>
          <w:smallCaps w:val="0"/>
          <w:strike w:val="0"/>
          <w:sz w:val="22"/>
          <w:u w:val="single"/>
        </w:rPr>
        <w:t>are in violation of the Lanham Act, thus constituting trademark infringement.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Certain trademark owners, however, have taken another route to promoting success of their mark in commerce: teaming up with creatives and licensing their IP rights to effectively engage in self-parody of their own brand. A recent example of such a tactic is demonstrated by the Mattel-sponsored blockbuster film Barbie (2023) from director and screenwriter, Greta Gerwig.12 For now,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 thing remains clear: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navigation of 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now-choppy waters of evolving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trademark law requires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closer look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rationale behind the Supreme Court’s ‘Bad Spaniels’ ruling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doubts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cast upon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continued viability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Rogers test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field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 infringement cases.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