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>The Supreme Court and Congress disagree – Supreme Court has historically gone against stronger IP</w:t>
      </w:r>
    </w:p>
    <w:p>
      <w:pPr>
        <w:spacing w:after="80"/>
      </w:pPr>
      <w:r>
        <w:rPr>
          <w:b w:val="0"/>
          <w:i w:val="0"/>
          <w:smallCaps w:val="0"/>
          <w:strike w:val="0"/>
          <w:u w:val="none"/>
        </w:rPr>
        <w:t xml:space="preserve">Gregory N. </w:t>
      </w:r>
      <w:r>
        <w:rPr>
          <w:b/>
          <w:i w:val="0"/>
          <w:smallCaps w:val="0"/>
          <w:strike w:val="0"/>
          <w:u w:val="none"/>
        </w:rPr>
        <w:t xml:space="preserve">Mandel, </w:t>
      </w:r>
      <w:r>
        <w:rPr>
          <w:b w:val="0"/>
          <w:i w:val="0"/>
          <w:smallCaps w:val="0"/>
          <w:strike w:val="0"/>
          <w:u w:val="none"/>
        </w:rPr>
        <w:t>20</w:t>
      </w:r>
      <w:r>
        <w:rPr>
          <w:b/>
          <w:i w:val="0"/>
          <w:smallCaps w:val="0"/>
          <w:strike w:val="0"/>
          <w:u w:val="none"/>
        </w:rPr>
        <w:t xml:space="preserve">17 </w:t>
      </w:r>
      <w:r>
        <w:rPr>
          <w:b w:val="0"/>
          <w:i w:val="0"/>
          <w:smallCaps w:val="0"/>
          <w:strike w:val="0"/>
          <w:u w:val="none"/>
        </w:rPr>
        <w:t>– Provost of Temple University and Professor of Law at Temple Law School; “Institutional Fracture in Intellectual Property Law: The Supreme Court Versus Congress”; https://scholarshare.temple.edu/bitstream/handle/20.500.12613/6341/Mandel-JournalArticle-2017.pdf?sequence=1&amp;isAllowed=y</w:t>
      </w:r>
    </w:p>
    <w:p>
      <w:pPr>
        <w:spacing w:after="60"/>
      </w:pPr>
      <w:r>
        <w:rPr>
          <w:b w:val="0"/>
          <w:i w:val="0"/>
          <w:smallCaps w:val="0"/>
          <w:strike w:val="0"/>
          <w:highlight w:val="cyan"/>
          <w:u w:val="single"/>
        </w:rPr>
        <w:t>Congress and the Supreme Court have been</w:t>
      </w:r>
      <w:r>
        <w:rPr>
          <w:b w:val="0"/>
          <w:i w:val="0"/>
          <w:smallCaps w:val="0"/>
          <w:strike w:val="0"/>
          <w:u w:val="single"/>
        </w:rPr>
        <w:t xml:space="preserve"> significantly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at odds </w:t>
      </w:r>
      <w:r>
        <w:rPr>
          <w:b/>
          <w:i w:val="0"/>
          <w:smallCaps w:val="0"/>
          <w:strike w:val="0"/>
          <w:sz w:val="22"/>
          <w:u w:val="single"/>
        </w:rPr>
        <w:t>over i</w:t>
      </w:r>
      <w:r>
        <w:rPr>
          <w:b w:val="0"/>
          <w:i w:val="0"/>
          <w:smallCaps w:val="0"/>
          <w:strike w:val="0"/>
          <w:u w:val="single"/>
        </w:rPr>
        <w:t>ntellectual property law throughout the early twenty-first century.</w:t>
      </w:r>
      <w:r>
        <w:rPr>
          <w:b w:val="0"/>
          <w:i w:val="0"/>
          <w:smallCaps w:val="0"/>
          <w:strike w:val="0"/>
          <w:u w:val="none"/>
        </w:rPr>
        <w:t xml:space="preserve"> This institutional fracture is revealed here in an original dataset comprising every Supreme Court decision and statute passed by Congress 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concerning intellectual property law from </w:t>
      </w:r>
      <w:r>
        <w:rPr>
          <w:b/>
          <w:i w:val="0"/>
          <w:smallCaps w:val="0"/>
          <w:strike w:val="0"/>
          <w:highlight w:val="cyan"/>
          <w:u w:val="single"/>
        </w:rPr>
        <w:t>2002 to 2016</w:t>
      </w:r>
      <w:r>
        <w:rPr>
          <w:b w:val="0"/>
          <w:i w:val="0"/>
          <w:smallCaps w:val="0"/>
          <w:strike w:val="0"/>
          <w:highlight w:val="cyan"/>
          <w:u w:val="single"/>
        </w:rPr>
        <w:t>.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 xml:space="preserve">Though the divergence between legislative and judicial action has largely slipped below the radar, it speaks volumes about the contemporary political economy of intellectual property law. </w:t>
      </w:r>
      <w:r>
        <w:rPr>
          <w:b w:val="0"/>
          <w:i w:val="0"/>
          <w:smallCaps w:val="0"/>
          <w:strike w:val="0"/>
          <w:highlight w:val="cyan"/>
          <w:u w:val="single"/>
        </w:rPr>
        <w:t>Analysis of this</w:t>
      </w:r>
      <w:r>
        <w:rPr>
          <w:b w:val="0"/>
          <w:i w:val="0"/>
          <w:smallCaps w:val="0"/>
          <w:strike w:val="0"/>
          <w:u w:val="single"/>
        </w:rPr>
        <w:t xml:space="preserve"> legal activity also 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raises questions concerning interbranch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separation of powers and majoritarian democracy</w:t>
      </w:r>
      <w:r>
        <w:rPr>
          <w:b w:val="0"/>
          <w:i w:val="0"/>
          <w:smallCaps w:val="0"/>
          <w:strike w:val="0"/>
          <w:highlight w:val="cyan"/>
          <w:u w:val="single"/>
        </w:rPr>
        <w:t>, questions that spread</w:t>
      </w:r>
      <w:r>
        <w:rPr>
          <w:b w:val="0"/>
          <w:i w:val="0"/>
          <w:smallCaps w:val="0"/>
          <w:strike w:val="0"/>
          <w:u w:val="single"/>
        </w:rPr>
        <w:t xml:space="preserve"> well </w:t>
      </w:r>
      <w:r>
        <w:rPr>
          <w:b w:val="0"/>
          <w:i w:val="0"/>
          <w:smallCaps w:val="0"/>
          <w:strike w:val="0"/>
          <w:highlight w:val="cyan"/>
          <w:u w:val="single"/>
        </w:rPr>
        <w:t>beyond i</w:t>
      </w:r>
      <w:r>
        <w:rPr>
          <w:b w:val="0"/>
          <w:i w:val="0"/>
          <w:smallCaps w:val="0"/>
          <w:strike w:val="0"/>
          <w:u w:val="single"/>
        </w:rPr>
        <w:t xml:space="preserve">ntellectual </w:t>
      </w:r>
      <w:r>
        <w:rPr>
          <w:b w:val="0"/>
          <w:i w:val="0"/>
          <w:smallCaps w:val="0"/>
          <w:strike w:val="0"/>
          <w:highlight w:val="cyan"/>
          <w:u w:val="single"/>
        </w:rPr>
        <w:t>p</w:t>
      </w:r>
      <w:r>
        <w:rPr>
          <w:b w:val="0"/>
          <w:i w:val="0"/>
          <w:smallCaps w:val="0"/>
          <w:strike w:val="0"/>
          <w:u w:val="single"/>
        </w:rPr>
        <w:t xml:space="preserve">roperty. 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Recent legislative and judicial actions concerning intellectual property law reveal several stark trends. </w:t>
      </w:r>
      <w:r>
        <w:rPr>
          <w:b w:val="0"/>
          <w:i w:val="0"/>
          <w:smallCaps w:val="0"/>
          <w:strike w:val="0"/>
          <w:highlight w:val="cyan"/>
          <w:u w:val="single"/>
        </w:rPr>
        <w:t>Congress has been</w:t>
      </w:r>
      <w:r>
        <w:rPr>
          <w:b w:val="0"/>
          <w:i w:val="0"/>
          <w:smallCaps w:val="0"/>
          <w:strike w:val="0"/>
          <w:u w:val="single"/>
        </w:rPr>
        <w:t xml:space="preserve"> remarkably </w:t>
      </w:r>
      <w:r>
        <w:rPr>
          <w:b w:val="0"/>
          <w:i w:val="0"/>
          <w:smallCaps w:val="0"/>
          <w:strike w:val="0"/>
          <w:highlight w:val="cyan"/>
          <w:u w:val="single"/>
        </w:rPr>
        <w:t>hospitable to stronger i</w:t>
      </w:r>
      <w:r>
        <w:rPr>
          <w:b w:val="0"/>
          <w:i w:val="0"/>
          <w:smallCaps w:val="0"/>
          <w:strike w:val="0"/>
          <w:u w:val="single"/>
        </w:rPr>
        <w:t xml:space="preserve">ntellectual </w:t>
      </w:r>
      <w:r>
        <w:rPr>
          <w:b w:val="0"/>
          <w:i w:val="0"/>
          <w:smallCaps w:val="0"/>
          <w:strike w:val="0"/>
          <w:highlight w:val="cyan"/>
          <w:u w:val="single"/>
        </w:rPr>
        <w:t>p</w:t>
      </w:r>
      <w:r>
        <w:rPr>
          <w:b w:val="0"/>
          <w:i w:val="0"/>
          <w:smallCaps w:val="0"/>
          <w:strike w:val="0"/>
          <w:u w:val="single"/>
        </w:rPr>
        <w:t xml:space="preserve">roperty </w:t>
      </w:r>
      <w:r>
        <w:rPr>
          <w:b w:val="0"/>
          <w:i w:val="0"/>
          <w:smallCaps w:val="0"/>
          <w:strike w:val="0"/>
          <w:highlight w:val="cyan"/>
          <w:u w:val="single"/>
        </w:rPr>
        <w:t>rights</w:t>
      </w:r>
      <w:r>
        <w:rPr>
          <w:b w:val="0"/>
          <w:i w:val="0"/>
          <w:smallCaps w:val="0"/>
          <w:strike w:val="0"/>
          <w:u w:val="single"/>
        </w:rPr>
        <w:t xml:space="preserve">. </w:t>
      </w:r>
      <w:r>
        <w:rPr>
          <w:b w:val="0"/>
          <w:i w:val="0"/>
          <w:smallCaps w:val="0"/>
          <w:strike w:val="0"/>
          <w:highlight w:val="cyan"/>
          <w:u w:val="single"/>
        </w:rPr>
        <w:t>Congress passed forty-three i</w:t>
      </w:r>
      <w:r>
        <w:rPr>
          <w:b w:val="0"/>
          <w:i w:val="0"/>
          <w:smallCaps w:val="0"/>
          <w:strike w:val="0"/>
          <w:u w:val="single"/>
        </w:rPr>
        <w:t xml:space="preserve">ntellectual </w:t>
      </w:r>
      <w:r>
        <w:rPr>
          <w:b w:val="0"/>
          <w:i w:val="0"/>
          <w:smallCaps w:val="0"/>
          <w:strike w:val="0"/>
          <w:highlight w:val="cyan"/>
          <w:u w:val="single"/>
        </w:rPr>
        <w:t>p</w:t>
      </w:r>
      <w:r>
        <w:rPr>
          <w:b w:val="0"/>
          <w:i w:val="0"/>
          <w:smallCaps w:val="0"/>
          <w:strike w:val="0"/>
          <w:u w:val="single"/>
        </w:rPr>
        <w:t xml:space="preserve">roperty </w:t>
      </w:r>
      <w:r>
        <w:rPr>
          <w:b w:val="0"/>
          <w:i w:val="0"/>
          <w:smallCaps w:val="0"/>
          <w:strike w:val="0"/>
          <w:highlight w:val="cyan"/>
          <w:u w:val="single"/>
        </w:rPr>
        <w:t>laws during the time period</w:t>
      </w:r>
      <w:r>
        <w:rPr>
          <w:b w:val="0"/>
          <w:i w:val="0"/>
          <w:smallCaps w:val="0"/>
          <w:strike w:val="0"/>
          <w:u w:val="single"/>
        </w:rPr>
        <w:t xml:space="preserve"> in question. Of those that affected the substantive strength of intellectual property rights, </w:t>
      </w:r>
      <w:r>
        <w:rPr>
          <w:b w:val="0"/>
          <w:i w:val="0"/>
          <w:smallCaps w:val="0"/>
          <w:strike w:val="0"/>
          <w:highlight w:val="cyan"/>
          <w:u w:val="single"/>
        </w:rPr>
        <w:t>over 80% made rights stronger.</w:t>
      </w:r>
      <w:r>
        <w:rPr>
          <w:b w:val="0"/>
          <w:i w:val="0"/>
          <w:smallCaps w:val="0"/>
          <w:strike w:val="0"/>
          <w:u w:val="single"/>
        </w:rPr>
        <w:t>1</w:t>
      </w:r>
      <w:r>
        <w:rPr>
          <w:b w:val="0"/>
          <w:i w:val="0"/>
          <w:smallCaps w:val="0"/>
          <w:strike w:val="0"/>
          <w:u w:val="none"/>
        </w:rPr>
        <w:t xml:space="preserve"> These laws made it easier to acquire intellectual property rights, broadened the scope of protection, and strengthened enforcement. </w:t>
      </w:r>
      <w:r>
        <w:rPr>
          <w:b w:val="0"/>
          <w:i w:val="0"/>
          <w:smallCaps w:val="0"/>
          <w:strike w:val="0"/>
          <w:highlight w:val="cyan"/>
          <w:u w:val="single"/>
        </w:rPr>
        <w:t>The Supreme Court’s</w:t>
      </w:r>
      <w:r>
        <w:rPr>
          <w:b w:val="0"/>
          <w:i w:val="0"/>
          <w:smallCaps w:val="0"/>
          <w:strike w:val="0"/>
          <w:u w:val="single"/>
        </w:rPr>
        <w:t xml:space="preserve"> intellectual property jurisprudence, however, </w:t>
      </w:r>
      <w:r>
        <w:rPr>
          <w:b w:val="0"/>
          <w:i w:val="0"/>
          <w:smallCaps w:val="0"/>
          <w:strike w:val="0"/>
          <w:highlight w:val="cyan"/>
          <w:u w:val="single"/>
        </w:rPr>
        <w:t>has moved largely in the opposite direction</w:t>
      </w:r>
      <w:r>
        <w:rPr>
          <w:b w:val="0"/>
          <w:i w:val="0"/>
          <w:smallCaps w:val="0"/>
          <w:strike w:val="0"/>
          <w:u w:val="single"/>
        </w:rPr>
        <w:t xml:space="preserve">. </w:t>
      </w:r>
      <w:r>
        <w:rPr>
          <w:b w:val="0"/>
          <w:i w:val="0"/>
          <w:smallCaps w:val="0"/>
          <w:strike w:val="0"/>
          <w:highlight w:val="cyan"/>
          <w:u w:val="single"/>
        </w:rPr>
        <w:t>The Court decided forty-four intellectual property cases from the</w:t>
      </w:r>
      <w:r>
        <w:rPr>
          <w:b w:val="0"/>
          <w:i w:val="0"/>
          <w:smallCaps w:val="0"/>
          <w:strike w:val="0"/>
          <w:u w:val="single"/>
        </w:rPr>
        <w:t xml:space="preserve"> October </w:t>
      </w:r>
      <w:r>
        <w:rPr>
          <w:b w:val="0"/>
          <w:i w:val="0"/>
          <w:smallCaps w:val="0"/>
          <w:strike w:val="0"/>
          <w:highlight w:val="cyan"/>
          <w:u w:val="single"/>
        </w:rPr>
        <w:t>2002–2003 Term through the</w:t>
      </w:r>
      <w:r>
        <w:rPr>
          <w:b w:val="0"/>
          <w:i w:val="0"/>
          <w:smallCaps w:val="0"/>
          <w:strike w:val="0"/>
          <w:u w:val="single"/>
        </w:rPr>
        <w:t xml:space="preserve"> October </w:t>
      </w:r>
      <w:r>
        <w:rPr>
          <w:b w:val="0"/>
          <w:i w:val="0"/>
          <w:smallCaps w:val="0"/>
          <w:strike w:val="0"/>
          <w:highlight w:val="cyan"/>
          <w:u w:val="single"/>
        </w:rPr>
        <w:t>2015–2016 Term, and</w:t>
      </w:r>
      <w:r>
        <w:rPr>
          <w:b w:val="0"/>
          <w:i w:val="0"/>
          <w:smallCaps w:val="0"/>
          <w:strike w:val="0"/>
          <w:u w:val="single"/>
        </w:rPr>
        <w:t xml:space="preserve"> of those that substantively affected the extent of rights, </w:t>
      </w:r>
      <w:r>
        <w:rPr>
          <w:b w:val="0"/>
          <w:i w:val="0"/>
          <w:smallCaps w:val="0"/>
          <w:strike w:val="0"/>
          <w:highlight w:val="cyan"/>
          <w:u w:val="single"/>
        </w:rPr>
        <w:t>two-thirds weakened protection.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Differentiating this legislative and judicial action based on intellectual property subfield exposes additional nuance. </w:t>
      </w:r>
      <w:r>
        <w:rPr>
          <w:b w:val="0"/>
          <w:i w:val="0"/>
          <w:smallCaps w:val="0"/>
          <w:strike w:val="0"/>
          <w:u w:val="single"/>
        </w:rPr>
        <w:t xml:space="preserve">While </w:t>
      </w:r>
      <w:r>
        <w:rPr>
          <w:b w:val="0"/>
          <w:i w:val="0"/>
          <w:smallCaps w:val="0"/>
          <w:strike w:val="0"/>
          <w:highlight w:val="cyan"/>
          <w:u w:val="single"/>
        </w:rPr>
        <w:t>Congress has tended to strengthen i</w:t>
      </w:r>
      <w:r>
        <w:rPr>
          <w:b w:val="0"/>
          <w:i w:val="0"/>
          <w:smallCaps w:val="0"/>
          <w:strike w:val="0"/>
          <w:u w:val="single"/>
        </w:rPr>
        <w:t xml:space="preserve">ntellectual </w:t>
      </w:r>
      <w:r>
        <w:rPr>
          <w:b w:val="0"/>
          <w:i w:val="0"/>
          <w:smallCaps w:val="0"/>
          <w:strike w:val="0"/>
          <w:highlight w:val="cyan"/>
          <w:u w:val="single"/>
        </w:rPr>
        <w:t>p</w:t>
      </w:r>
      <w:r>
        <w:rPr>
          <w:b w:val="0"/>
          <w:i w:val="0"/>
          <w:smallCaps w:val="0"/>
          <w:strike w:val="0"/>
          <w:u w:val="single"/>
        </w:rPr>
        <w:t>roperty protection in patent, copyright, and trademark law</w:t>
      </w:r>
      <w:r>
        <w:rPr>
          <w:b w:val="0"/>
          <w:i w:val="0"/>
          <w:smallCaps w:val="0"/>
          <w:strike w:val="0"/>
          <w:highlight w:val="cyan"/>
          <w:u w:val="single"/>
        </w:rPr>
        <w:t>, the Supreme Court has been generally antagonistic toward stronger patent and trademark rights</w:t>
      </w:r>
      <w:r>
        <w:rPr>
          <w:b w:val="0"/>
          <w:i w:val="0"/>
          <w:smallCaps w:val="0"/>
          <w:strike w:val="0"/>
          <w:u w:val="single"/>
        </w:rPr>
        <w:t xml:space="preserve">, but highly receptive to increasing copyright protection. This differentiation indicates that </w:t>
      </w:r>
      <w:r>
        <w:rPr>
          <w:b w:val="0"/>
          <w:i w:val="0"/>
          <w:smallCaps w:val="0"/>
          <w:strike w:val="0"/>
          <w:highlight w:val="cyan"/>
          <w:u w:val="single"/>
        </w:rPr>
        <w:t>the Supreme Court, at least, does not appear to view intellectual property law as a single, unified field.</w:t>
      </w:r>
    </w:p>
    <w:p>
      <w:pPr>
        <w:pStyle w:val="Caption"/>
      </w:pPr>
      <w:r>
        <w:t>Source: Courts CP - Michigan 7 2024 BLP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