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Continued Climate Denial will lead to common law being the standard for law   </w:t>
      </w:r>
    </w:p>
    <w:p>
      <w:pPr>
        <w:spacing w:after="80"/>
      </w:pPr>
      <w:r>
        <w:rPr>
          <w:b w:val="0"/>
          <w:i w:val="0"/>
          <w:smallCaps w:val="0"/>
          <w:strike w:val="0"/>
          <w:u w:val="none"/>
        </w:rPr>
        <w:t xml:space="preserve">Mark P. </w:t>
      </w:r>
      <w:r>
        <w:rPr>
          <w:b/>
          <w:i w:val="0"/>
          <w:smallCaps w:val="0"/>
          <w:strike w:val="0"/>
          <w:sz w:val="26"/>
          <w:u w:val="none"/>
        </w:rPr>
        <w:t>Nevitt</w:t>
      </w:r>
      <w:r>
        <w:rPr>
          <w:b w:val="0"/>
          <w:i w:val="0"/>
          <w:smallCaps w:val="0"/>
          <w:strike w:val="0"/>
          <w:u w:val="none"/>
        </w:rPr>
        <w:t>, 20</w:t>
      </w:r>
      <w:r>
        <w:rPr>
          <w:b/>
          <w:i w:val="0"/>
          <w:smallCaps w:val="0"/>
          <w:strike w:val="0"/>
          <w:sz w:val="26"/>
          <w:u w:val="none"/>
        </w:rPr>
        <w:t>18</w:t>
      </w:r>
      <w:r>
        <w:rPr>
          <w:b w:val="0"/>
          <w:i w:val="0"/>
          <w:smallCaps w:val="0"/>
          <w:strike w:val="0"/>
          <w:u w:val="none"/>
        </w:rPr>
        <w:t xml:space="preserve"> – B.S.E in Finance from UPENN, Master from Georgetown University Law Center, Current Associate Professor at Emory University School of Law  “Could Official Climate Denial Revive the Common Law as a Regulatory Backstop?” </w:t>
      </w:r>
      <w:r>
        <w:rPr>
          <w:b w:val="0"/>
          <w:i w:val="0"/>
          <w:smallCaps w:val="0"/>
          <w:strike w:val="0"/>
          <w:u w:val="none"/>
        </w:rPr>
        <w:t xml:space="preserve">  v //RS</w:t>
      </w:r>
    </w:p>
    <w:p>
      <w:pPr>
        <w:spacing w:after="60"/>
      </w:pPr>
      <w:r>
        <w:rPr>
          <w:b w:val="0"/>
          <w:i w:val="0"/>
          <w:smallCaps w:val="0"/>
          <w:strike w:val="0"/>
          <w:u w:val="none"/>
        </w:rPr>
        <w:t>The Trump Administration is rapidly turning the clock back on climate policy and environmental regulation.</w:t>
      </w:r>
      <w:r>
        <w:rPr>
          <w:b w:val="0"/>
          <w:i w:val="0"/>
          <w:smallCaps w:val="0"/>
          <w:strike w:val="0"/>
          <w:u w:val="single"/>
        </w:rPr>
        <w:t xml:space="preserve"> Despite overwhelming, peer-reviewed scientific evidence, administration officials eager to promote greater use of fossil fuels are disregarding climate science.</w:t>
      </w:r>
      <w:r>
        <w:rPr>
          <w:b w:val="0"/>
          <w:i w:val="0"/>
          <w:smallCaps w:val="0"/>
          <w:strike w:val="0"/>
          <w:u w:val="none"/>
        </w:rPr>
        <w:t xml:space="preserve"> </w:t>
      </w:r>
      <w:r>
        <w:rPr>
          <w:b w:val="0"/>
          <w:i w:val="0"/>
          <w:smallCaps w:val="0"/>
          <w:strike w:val="0"/>
          <w:u w:val="single"/>
        </w:rPr>
        <w:t xml:space="preserve">This Article argues that </w:t>
      </w:r>
      <w:r>
        <w:rPr>
          <w:b w:val="0"/>
          <w:i w:val="0"/>
          <w:smallCaps w:val="0"/>
          <w:strike w:val="0"/>
          <w:highlight w:val="cyan"/>
          <w:u w:val="single"/>
        </w:rPr>
        <w:t>this</w:t>
      </w:r>
      <w:r>
        <w:rPr>
          <w:b w:val="0"/>
          <w:i w:val="0"/>
          <w:smallCaps w:val="0"/>
          <w:strike w:val="0"/>
          <w:u w:val="single"/>
        </w:rPr>
        <w:t xml:space="preserve"> massive and historic </w:t>
      </w:r>
      <w:r>
        <w:rPr>
          <w:b w:val="0"/>
          <w:i w:val="0"/>
          <w:smallCaps w:val="0"/>
          <w:strike w:val="0"/>
          <w:highlight w:val="cyan"/>
          <w:u w:val="single"/>
        </w:rPr>
        <w:t>deregulation</w:t>
      </w:r>
      <w:r>
        <w:rPr>
          <w:b w:val="0"/>
          <w:i w:val="0"/>
          <w:smallCaps w:val="0"/>
          <w:strike w:val="0"/>
          <w:u w:val="single"/>
        </w:rPr>
        <w:t xml:space="preserve"> </w:t>
      </w:r>
      <w:r>
        <w:rPr>
          <w:b w:val="0"/>
          <w:i w:val="0"/>
          <w:smallCaps w:val="0"/>
          <w:strike w:val="0"/>
          <w:highlight w:val="cyan"/>
          <w:u w:val="single"/>
        </w:rPr>
        <w:t>may spawn</w:t>
      </w:r>
      <w:r>
        <w:rPr>
          <w:b w:val="0"/>
          <w:i w:val="0"/>
          <w:smallCaps w:val="0"/>
          <w:strike w:val="0"/>
          <w:u w:val="single"/>
        </w:rPr>
        <w:t xml:space="preserve"> yet </w:t>
      </w:r>
      <w:r>
        <w:rPr>
          <w:b w:val="0"/>
          <w:i w:val="0"/>
          <w:smallCaps w:val="0"/>
          <w:strike w:val="0"/>
          <w:highlight w:val="cyan"/>
          <w:u w:val="single"/>
        </w:rPr>
        <w:t>another wave of legal innovation as litigants,</w:t>
      </w:r>
      <w:r>
        <w:rPr>
          <w:b w:val="0"/>
          <w:i w:val="0"/>
          <w:smallCaps w:val="0"/>
          <w:strike w:val="0"/>
          <w:u w:val="single"/>
        </w:rPr>
        <w:t xml:space="preserve"> including states and their political subdivisions, </w:t>
      </w:r>
      <w:r>
        <w:rPr>
          <w:b w:val="0"/>
          <w:i w:val="0"/>
          <w:smallCaps w:val="0"/>
          <w:strike w:val="0"/>
          <w:highlight w:val="cyan"/>
          <w:u w:val="single"/>
        </w:rPr>
        <w:t>return to the common law</w:t>
      </w:r>
      <w:r>
        <w:rPr>
          <w:b w:val="0"/>
          <w:i w:val="0"/>
          <w:smallCaps w:val="0"/>
          <w:strike w:val="0"/>
          <w:u w:val="single"/>
        </w:rPr>
        <w:t xml:space="preserve"> to protect the health of the planet</w:t>
      </w:r>
      <w:r>
        <w:rPr>
          <w:b w:val="0"/>
          <w:i w:val="0"/>
          <w:smallCaps w:val="0"/>
          <w:strike w:val="0"/>
          <w:u w:val="none"/>
        </w:rPr>
        <w:t>. Prior to the emergence of the major federal environmental laws in the 1970s, the common law of nuisance gave rise to the earliest environmental decisions in U.S. history. In some of these cases, the Supreme Court issued injunctions to control significant sources of air and water pollution, but the Court later held that the Clean Water Act and Clean Air Act displaced the federal common law of nuisance.</w:t>
      </w:r>
    </w:p>
    <w:p>
      <w:pPr>
        <w:spacing w:after="60"/>
      </w:pPr>
      <w:r>
        <w:rPr>
          <w:b w:val="0"/>
          <w:i w:val="0"/>
          <w:smallCaps w:val="0"/>
          <w:strike w:val="0"/>
          <w:u w:val="single"/>
        </w:rPr>
        <w:t xml:space="preserve">This Article argues that official </w:t>
      </w:r>
      <w:r>
        <w:rPr>
          <w:b w:val="0"/>
          <w:i w:val="0"/>
          <w:smallCaps w:val="0"/>
          <w:strike w:val="0"/>
          <w:highlight w:val="cyan"/>
          <w:u w:val="single"/>
        </w:rPr>
        <w:t>climate denial may</w:t>
      </w:r>
      <w:r>
        <w:rPr>
          <w:b w:val="0"/>
          <w:i w:val="0"/>
          <w:smallCaps w:val="0"/>
          <w:strike w:val="0"/>
          <w:u w:val="single"/>
        </w:rPr>
        <w:t xml:space="preserve"> yet </w:t>
      </w:r>
      <w:r>
        <w:rPr>
          <w:b w:val="0"/>
          <w:i w:val="0"/>
          <w:smallCaps w:val="0"/>
          <w:strike w:val="0"/>
          <w:highlight w:val="cyan"/>
          <w:u w:val="single"/>
        </w:rPr>
        <w:t>revive the common law as a regulatory backstop.</w:t>
      </w:r>
      <w:r>
        <w:rPr>
          <w:b w:val="0"/>
          <w:i w:val="0"/>
          <w:smallCaps w:val="0"/>
          <w:strike w:val="0"/>
          <w:u w:val="none"/>
        </w:rPr>
        <w:t xml:space="preserve"> If the U.S. Environmental Protection Agency reverses its earlier endangerment finding for greenhouse gas emissions, the Clean Air Act may no longer displace the federal common law of nuisance. </w:t>
      </w:r>
      <w:r>
        <w:rPr>
          <w:b w:val="0"/>
          <w:i w:val="0"/>
          <w:smallCaps w:val="0"/>
          <w:strike w:val="0"/>
          <w:u w:val="single"/>
        </w:rPr>
        <w:t>While expert administrative agencies normally are more competent than the judiciary in fashioning regulatory policy, agencies that deny climate science should expect to face judicial intervention. As described in this Article, such action is consistent with the historic role the judiciary has played when other branches of government failed to prevent significant environmental harm.</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